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bookmarkStart w:id="41" w:name="_GoBack"/>
      <w:bookmarkEnd w:id="41"/>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互感器测试仪（含感应耐压）</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2"/>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2"/>
        <w:bidi w:val="0"/>
        <w:rPr>
          <w:rFonts w:hint="eastAsia"/>
          <w:highlight w:val="none"/>
        </w:rPr>
      </w:pPr>
      <w:r>
        <w:rPr>
          <w:rFonts w:hint="eastAsia"/>
          <w:highlight w:val="none"/>
        </w:rPr>
        <w:t xml:space="preserve">1 </w:t>
      </w:r>
      <w:bookmarkStart w:id="2" w:name="_Toc397006837"/>
      <w:bookmarkStart w:id="3" w:name="_Toc305941223"/>
      <w:bookmarkStart w:id="4" w:name="_Toc305941518"/>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互感器测试仪（含感应耐压）</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97006838"/>
      <w:bookmarkStart w:id="6" w:name="_Toc305941519"/>
      <w:bookmarkStart w:id="7" w:name="_Toc30594122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397006840"/>
      <w:bookmarkStart w:id="10" w:name="_Toc292221729"/>
      <w:bookmarkStart w:id="11" w:name="_Toc290652071"/>
      <w:bookmarkStart w:id="12" w:name="_Toc305941225"/>
    </w:p>
    <w:bookmarkEnd w:id="8"/>
    <w:bookmarkEnd w:id="9"/>
    <w:bookmarkEnd w:id="10"/>
    <w:bookmarkEnd w:id="11"/>
    <w:bookmarkEnd w:id="12"/>
    <w:p>
      <w:pPr>
        <w:pStyle w:val="2"/>
        <w:bidi w:val="0"/>
        <w:rPr>
          <w:highlight w:val="none"/>
        </w:rPr>
      </w:pPr>
      <w:bookmarkStart w:id="13" w:name="_Toc3763"/>
      <w:bookmarkStart w:id="14" w:name="_Toc397006842"/>
      <w:bookmarkStart w:id="15" w:name="_Toc305941520"/>
      <w:bookmarkStart w:id="16" w:name="_Toc305941228"/>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互感器测试仪（含感应耐压）</w:t>
      </w:r>
      <w:r>
        <w:rPr>
          <w:rFonts w:hint="eastAsia"/>
          <w:color w:val="auto"/>
          <w:highlight w:val="none"/>
        </w:rPr>
        <w:t>：</w:t>
      </w:r>
    </w:p>
    <w:p>
      <w:pPr>
        <w:pStyle w:val="20"/>
        <w:ind w:left="0" w:leftChars="0" w:firstLine="480"/>
        <w:rPr>
          <w:rFonts w:hint="eastAsia" w:ascii="宋体" w:hAnsi="宋体" w:eastAsia="宋体"/>
          <w:szCs w:val="21"/>
          <w:highlight w:val="none"/>
        </w:rPr>
      </w:pPr>
      <w:r>
        <w:rPr>
          <w:rFonts w:hint="eastAsia" w:ascii="宋体" w:hAnsi="宋体" w:eastAsia="宋体"/>
          <w:szCs w:val="21"/>
          <w:highlight w:val="none"/>
        </w:rPr>
        <w:t>GB/T 7261―2000    继电器及继电保护装置基本试验方法</w:t>
      </w:r>
    </w:p>
    <w:p>
      <w:pPr>
        <w:pStyle w:val="20"/>
        <w:ind w:left="0" w:leftChars="0" w:firstLine="480"/>
        <w:rPr>
          <w:rFonts w:hint="eastAsia" w:ascii="宋体" w:hAnsi="宋体" w:eastAsia="宋体"/>
          <w:szCs w:val="21"/>
          <w:highlight w:val="none"/>
        </w:rPr>
      </w:pPr>
      <w:r>
        <w:rPr>
          <w:rFonts w:hint="eastAsia" w:ascii="宋体" w:hAnsi="宋体" w:eastAsia="宋体"/>
          <w:szCs w:val="21"/>
          <w:highlight w:val="none"/>
        </w:rPr>
        <w:t>IEC  255―22       继电器和保护装置的电气干扰试验</w:t>
      </w:r>
    </w:p>
    <w:p>
      <w:pPr>
        <w:pStyle w:val="20"/>
        <w:ind w:left="0" w:leftChars="0" w:firstLine="480"/>
        <w:rPr>
          <w:rFonts w:hint="eastAsia"/>
          <w:szCs w:val="21"/>
          <w:highlight w:val="none"/>
        </w:rPr>
      </w:pPr>
      <w:r>
        <w:rPr>
          <w:rFonts w:hint="eastAsia" w:ascii="宋体" w:hAnsi="宋体" w:eastAsia="宋体"/>
          <w:szCs w:val="21"/>
          <w:highlight w:val="none"/>
        </w:rPr>
        <w:t>DL/T 634-1997：远动设备及系统  第 5 部分：传输规约  第 101 篇：基</w:t>
      </w:r>
      <w:r>
        <w:rPr>
          <w:rFonts w:hint="eastAsia" w:ascii="宋体" w:hAnsi="宋体" w:eastAsia="宋体"/>
          <w:szCs w:val="21"/>
          <w:highlight w:val="none"/>
        </w:rPr>
        <w:tab/>
      </w:r>
      <w:r>
        <w:rPr>
          <w:rFonts w:hint="eastAsia" w:ascii="宋体" w:hAnsi="宋体" w:eastAsia="宋体"/>
          <w:szCs w:val="21"/>
          <w:highlight w:val="none"/>
        </w:rPr>
        <w:t>本远动任务配套</w:t>
      </w:r>
      <w:r>
        <w:rPr>
          <w:rFonts w:hint="eastAsia"/>
          <w:szCs w:val="21"/>
          <w:highlight w:val="none"/>
        </w:rPr>
        <w:t xml:space="preserve">标准 </w:t>
      </w:r>
    </w:p>
    <w:p>
      <w:pPr>
        <w:pStyle w:val="20"/>
        <w:ind w:left="0" w:leftChars="0" w:firstLine="480"/>
        <w:rPr>
          <w:rFonts w:hint="eastAsia"/>
          <w:szCs w:val="21"/>
          <w:highlight w:val="none"/>
        </w:rPr>
      </w:pPr>
      <w:r>
        <w:rPr>
          <w:rFonts w:hint="eastAsia"/>
          <w:szCs w:val="21"/>
          <w:highlight w:val="none"/>
        </w:rPr>
        <w:t>DL/T 667-1999：远动设备及系统  第 5 部分：传输规约  第 103 篇：继电</w:t>
      </w:r>
      <w:r>
        <w:rPr>
          <w:rFonts w:hint="eastAsia"/>
          <w:szCs w:val="21"/>
          <w:highlight w:val="none"/>
        </w:rPr>
        <w:tab/>
      </w:r>
      <w:r>
        <w:rPr>
          <w:rFonts w:hint="eastAsia"/>
          <w:szCs w:val="21"/>
          <w:highlight w:val="none"/>
        </w:rPr>
        <w:t>保护设备信息接口配套标准</w:t>
      </w:r>
    </w:p>
    <w:p>
      <w:pPr>
        <w:pStyle w:val="20"/>
        <w:ind w:left="0" w:leftChars="0" w:firstLine="480"/>
        <w:rPr>
          <w:rFonts w:hint="eastAsia"/>
          <w:szCs w:val="21"/>
          <w:highlight w:val="none"/>
        </w:rPr>
      </w:pPr>
      <w:r>
        <w:rPr>
          <w:rFonts w:hint="eastAsia"/>
          <w:szCs w:val="21"/>
          <w:highlight w:val="none"/>
        </w:rPr>
        <w:t>DL/T  634.5104-2002 远动设备及系统  第 5 部分：传输规约  第 104 篇：</w:t>
      </w:r>
      <w:r>
        <w:rPr>
          <w:rFonts w:hint="eastAsia"/>
          <w:szCs w:val="21"/>
          <w:highlight w:val="none"/>
        </w:rPr>
        <w:tab/>
      </w:r>
      <w:r>
        <w:rPr>
          <w:rFonts w:hint="eastAsia"/>
          <w:szCs w:val="21"/>
          <w:highlight w:val="none"/>
        </w:rPr>
        <w:t xml:space="preserve">采用标准传输文件集的 IEC60870-5-101 网络访问 </w:t>
      </w:r>
    </w:p>
    <w:p>
      <w:pPr>
        <w:pStyle w:val="20"/>
        <w:ind w:left="0" w:leftChars="0" w:firstLine="480"/>
        <w:rPr>
          <w:rFonts w:hint="eastAsia"/>
          <w:szCs w:val="21"/>
          <w:highlight w:val="none"/>
        </w:rPr>
      </w:pPr>
      <w:r>
        <w:rPr>
          <w:rFonts w:hint="eastAsia"/>
          <w:szCs w:val="21"/>
          <w:highlight w:val="none"/>
        </w:rPr>
        <w:t>GB 16836—1997     量度继电器和保护装置安全设计的一般要求</w:t>
      </w:r>
    </w:p>
    <w:p>
      <w:pPr>
        <w:pStyle w:val="20"/>
        <w:ind w:left="0" w:leftChars="0" w:firstLine="480"/>
        <w:rPr>
          <w:rFonts w:ascii="宋体" w:hAnsi="宋体" w:eastAsia="宋体"/>
          <w:color w:val="auto"/>
          <w:highlight w:val="none"/>
        </w:rPr>
      </w:pPr>
      <w:r>
        <w:rPr>
          <w:rFonts w:hint="eastAsia"/>
          <w:szCs w:val="21"/>
          <w:highlight w:val="none"/>
        </w:rPr>
        <w:t xml:space="preserve">GB/T 14537-93 </w:t>
      </w:r>
      <w:r>
        <w:rPr>
          <w:rFonts w:hint="eastAsia"/>
          <w:szCs w:val="21"/>
          <w:highlight w:val="none"/>
        </w:rPr>
        <w:tab/>
      </w:r>
      <w:r>
        <w:rPr>
          <w:rFonts w:hint="eastAsia"/>
          <w:szCs w:val="21"/>
          <w:highlight w:val="none"/>
        </w:rPr>
        <w:t xml:space="preserve">  量度继电器和保护装置的冲击和碰撞试验</w:t>
      </w:r>
    </w:p>
    <w:p>
      <w:pPr>
        <w:tabs>
          <w:tab w:val="left" w:pos="-1800"/>
        </w:tabs>
        <w:ind w:left="2810" w:hanging="2400" w:hangingChars="1000"/>
        <w:rPr>
          <w:rFonts w:hint="eastAsia"/>
          <w:szCs w:val="21"/>
          <w:highlight w:val="none"/>
        </w:rPr>
      </w:pPr>
      <w:r>
        <w:rPr>
          <w:rFonts w:hint="eastAsia"/>
          <w:szCs w:val="21"/>
          <w:highlight w:val="none"/>
        </w:rPr>
        <w:t xml:space="preserve"> </w:t>
      </w:r>
      <w:r>
        <w:rPr>
          <w:szCs w:val="21"/>
          <w:highlight w:val="none"/>
        </w:rPr>
        <w:t>GB/T</w:t>
      </w:r>
      <w:r>
        <w:rPr>
          <w:rFonts w:hint="eastAsia"/>
          <w:szCs w:val="21"/>
          <w:highlight w:val="none"/>
        </w:rPr>
        <w:t xml:space="preserve"> </w:t>
      </w:r>
      <w:r>
        <w:rPr>
          <w:szCs w:val="21"/>
          <w:highlight w:val="none"/>
        </w:rPr>
        <w:t>11287-2000</w:t>
      </w:r>
      <w:r>
        <w:rPr>
          <w:rFonts w:hint="eastAsia"/>
          <w:szCs w:val="21"/>
          <w:highlight w:val="none"/>
        </w:rPr>
        <w:t xml:space="preserve"> </w:t>
      </w:r>
      <w:r>
        <w:rPr>
          <w:rFonts w:hint="eastAsia"/>
          <w:szCs w:val="21"/>
          <w:highlight w:val="none"/>
        </w:rPr>
        <w:tab/>
      </w:r>
      <w:r>
        <w:rPr>
          <w:rFonts w:hint="eastAsia"/>
          <w:szCs w:val="21"/>
          <w:highlight w:val="none"/>
        </w:rPr>
        <w:t>电气继电器第21部分：量度继电器和保护装置的</w:t>
      </w:r>
    </w:p>
    <w:p>
      <w:pPr>
        <w:tabs>
          <w:tab w:val="left" w:pos="-1800"/>
        </w:tabs>
        <w:ind w:left="2810" w:hanging="2400" w:hangingChars="1000"/>
        <w:rPr>
          <w:szCs w:val="21"/>
          <w:highlight w:val="none"/>
        </w:rPr>
      </w:pPr>
      <w:r>
        <w:rPr>
          <w:rFonts w:hint="eastAsia"/>
          <w:szCs w:val="21"/>
          <w:highlight w:val="none"/>
        </w:rPr>
        <w:t xml:space="preserve"> 动、冲击、碰撞和地震试验 第1章: 振动试验(正弦)</w:t>
      </w:r>
    </w:p>
    <w:p>
      <w:pPr>
        <w:tabs>
          <w:tab w:val="left" w:pos="2548"/>
          <w:tab w:val="left" w:pos="2590"/>
        </w:tabs>
        <w:ind w:left="2810" w:hanging="2400" w:hangingChars="1000"/>
        <w:rPr>
          <w:rFonts w:hint="eastAsia"/>
          <w:szCs w:val="21"/>
          <w:highlight w:val="none"/>
        </w:rPr>
      </w:pPr>
      <w:r>
        <w:rPr>
          <w:rFonts w:hint="eastAsia"/>
          <w:szCs w:val="21"/>
          <w:highlight w:val="none"/>
        </w:rPr>
        <w:t xml:space="preserve"> </w:t>
      </w:r>
      <w:r>
        <w:rPr>
          <w:szCs w:val="21"/>
          <w:highlight w:val="none"/>
        </w:rPr>
        <w:t>GB/T</w:t>
      </w:r>
      <w:r>
        <w:rPr>
          <w:rFonts w:hint="eastAsia"/>
          <w:szCs w:val="21"/>
          <w:highlight w:val="none"/>
        </w:rPr>
        <w:t xml:space="preserve"> </w:t>
      </w:r>
      <w:r>
        <w:rPr>
          <w:szCs w:val="21"/>
          <w:highlight w:val="none"/>
        </w:rPr>
        <w:t>14598.13-1998</w:t>
      </w:r>
      <w:r>
        <w:rPr>
          <w:rFonts w:hint="eastAsia"/>
          <w:szCs w:val="21"/>
          <w:highlight w:val="none"/>
        </w:rPr>
        <w:t xml:space="preserve">  电气继电器 第22部分:量度继电器和保护装置的</w:t>
      </w:r>
    </w:p>
    <w:p>
      <w:pPr>
        <w:tabs>
          <w:tab w:val="left" w:pos="2548"/>
          <w:tab w:val="left" w:pos="2590"/>
        </w:tabs>
        <w:ind w:left="2810" w:hanging="2400" w:hangingChars="1000"/>
        <w:rPr>
          <w:szCs w:val="21"/>
          <w:highlight w:val="none"/>
        </w:rPr>
      </w:pPr>
      <w:r>
        <w:rPr>
          <w:rFonts w:hint="eastAsia"/>
          <w:szCs w:val="21"/>
          <w:highlight w:val="none"/>
        </w:rPr>
        <w:t xml:space="preserve"> 气干扰试验  第一部分:1MHz脉冲干扰试验</w:t>
      </w:r>
    </w:p>
    <w:p>
      <w:pPr>
        <w:tabs>
          <w:tab w:val="left" w:pos="2400"/>
          <w:tab w:val="left" w:pos="2548"/>
          <w:tab w:val="left" w:pos="2590"/>
        </w:tabs>
        <w:ind w:left="2810" w:hanging="2400" w:hangingChars="1000"/>
        <w:rPr>
          <w:rFonts w:hint="eastAsia"/>
          <w:szCs w:val="21"/>
          <w:highlight w:val="none"/>
        </w:rPr>
      </w:pPr>
      <w:r>
        <w:rPr>
          <w:rFonts w:hint="eastAsia"/>
          <w:szCs w:val="21"/>
          <w:highlight w:val="none"/>
        </w:rPr>
        <w:t xml:space="preserve"> GB/T 14598.9-1995   电气继电器 第22部分:量度继电器和保护装置的</w:t>
      </w:r>
    </w:p>
    <w:p>
      <w:pPr>
        <w:tabs>
          <w:tab w:val="left" w:pos="2400"/>
          <w:tab w:val="left" w:pos="2548"/>
          <w:tab w:val="left" w:pos="2590"/>
        </w:tabs>
        <w:ind w:left="2810" w:hanging="2400" w:hangingChars="1000"/>
        <w:rPr>
          <w:rFonts w:hint="eastAsia"/>
          <w:szCs w:val="21"/>
          <w:highlight w:val="none"/>
        </w:rPr>
      </w:pPr>
      <w:r>
        <w:rPr>
          <w:rFonts w:hint="eastAsia"/>
          <w:szCs w:val="21"/>
          <w:highlight w:val="none"/>
        </w:rPr>
        <w:t xml:space="preserve"> 气干扰试验 第三篇: 辐射电磁场干扰试验</w:t>
      </w:r>
    </w:p>
    <w:p>
      <w:pPr>
        <w:tabs>
          <w:tab w:val="left" w:pos="2400"/>
          <w:tab w:val="left" w:pos="2548"/>
          <w:tab w:val="left" w:pos="2590"/>
        </w:tabs>
        <w:ind w:left="2810" w:hanging="2400" w:hangingChars="1000"/>
        <w:rPr>
          <w:szCs w:val="21"/>
          <w:highlight w:val="none"/>
        </w:rPr>
      </w:pPr>
      <w:r>
        <w:rPr>
          <w:rFonts w:hint="eastAsia"/>
          <w:szCs w:val="21"/>
          <w:highlight w:val="none"/>
        </w:rPr>
        <w:t xml:space="preserve"> </w:t>
      </w:r>
      <w:r>
        <w:rPr>
          <w:szCs w:val="21"/>
          <w:highlight w:val="none"/>
        </w:rPr>
        <w:t>GB/T</w:t>
      </w:r>
      <w:r>
        <w:rPr>
          <w:rFonts w:hint="eastAsia"/>
          <w:szCs w:val="21"/>
          <w:highlight w:val="none"/>
        </w:rPr>
        <w:t xml:space="preserve"> </w:t>
      </w:r>
      <w:r>
        <w:rPr>
          <w:szCs w:val="21"/>
          <w:highlight w:val="none"/>
        </w:rPr>
        <w:t xml:space="preserve">17626  </w:t>
      </w:r>
      <w:r>
        <w:rPr>
          <w:rFonts w:hint="eastAsia"/>
          <w:szCs w:val="21"/>
          <w:highlight w:val="none"/>
        </w:rPr>
        <w:t xml:space="preserve"> 电磁兼容   试验和测量技术 </w:t>
      </w:r>
    </w:p>
    <w:p>
      <w:pPr>
        <w:tabs>
          <w:tab w:val="left" w:pos="2700"/>
          <w:tab w:val="left" w:pos="2880"/>
        </w:tabs>
        <w:snapToGrid w:val="0"/>
        <w:ind w:left="2810" w:hanging="2400" w:hangingChars="1000"/>
        <w:rPr>
          <w:szCs w:val="21"/>
          <w:highlight w:val="none"/>
        </w:rPr>
      </w:pPr>
      <w:r>
        <w:rPr>
          <w:rFonts w:hint="eastAsia"/>
          <w:szCs w:val="21"/>
          <w:highlight w:val="none"/>
        </w:rPr>
        <w:t xml:space="preserve"> </w:t>
      </w:r>
      <w:r>
        <w:rPr>
          <w:szCs w:val="21"/>
          <w:highlight w:val="none"/>
        </w:rPr>
        <w:t>GB</w:t>
      </w:r>
      <w:r>
        <w:rPr>
          <w:rFonts w:hint="eastAsia"/>
          <w:szCs w:val="21"/>
          <w:highlight w:val="none"/>
        </w:rPr>
        <w:t xml:space="preserve">/T 2423         电工电子产品环境试验 </w:t>
      </w:r>
    </w:p>
    <w:p>
      <w:pPr>
        <w:pStyle w:val="6"/>
        <w:ind w:left="410" w:firstLine="360" w:firstLineChars="150"/>
        <w:rPr>
          <w:rFonts w:hint="eastAsia" w:ascii="宋体" w:eastAsia="宋体" w:cs="宋体"/>
          <w:highlight w:val="none"/>
        </w:rPr>
      </w:pPr>
      <w:r>
        <w:rPr>
          <w:rFonts w:hint="eastAsia" w:ascii="宋体" w:eastAsia="宋体" w:cs="宋体"/>
          <w:highlight w:val="none"/>
        </w:rPr>
        <w:t>GB4943-1995       信息技术设备（包括电气事务设备）的安全</w:t>
      </w:r>
    </w:p>
    <w:p>
      <w:pPr>
        <w:pStyle w:val="6"/>
        <w:ind w:left="2810" w:hanging="2400" w:hangingChars="1000"/>
        <w:rPr>
          <w:rFonts w:hint="eastAsia" w:ascii="宋体" w:eastAsia="宋体" w:cs="宋体"/>
          <w:highlight w:val="none"/>
        </w:rPr>
      </w:pPr>
      <w:r>
        <w:rPr>
          <w:rFonts w:hint="eastAsia" w:ascii="宋体" w:eastAsia="宋体" w:cs="宋体"/>
          <w:highlight w:val="none"/>
        </w:rPr>
        <w:t xml:space="preserve">   IEC 61969-2-1:2000  电子设备用机械结构 室外机壳 第2-1部分：</w:t>
      </w:r>
    </w:p>
    <w:p>
      <w:pPr>
        <w:pStyle w:val="6"/>
        <w:ind w:left="2810" w:hanging="2400" w:hangingChars="1000"/>
        <w:rPr>
          <w:color w:val="FF0000"/>
          <w:highlight w:val="none"/>
        </w:rPr>
      </w:pPr>
      <w:r>
        <w:rPr>
          <w:rFonts w:hint="eastAsia" w:ascii="宋体" w:eastAsia="宋体" w:cs="宋体"/>
          <w:highlight w:val="none"/>
        </w:rPr>
        <w:t>细规范-机箱尺</w:t>
      </w:r>
      <w:r>
        <w:rPr>
          <w:rFonts w:hint="eastAsia" w:ascii="宋体"/>
          <w:highlight w:val="none"/>
        </w:rPr>
        <w:t>寸</w:t>
      </w:r>
    </w:p>
    <w:p>
      <w:pPr>
        <w:pStyle w:val="2"/>
        <w:bidi w:val="0"/>
        <w:rPr>
          <w:highlight w:val="none"/>
        </w:rPr>
      </w:pPr>
      <w:bookmarkStart w:id="17" w:name="_Toc397006843"/>
      <w:bookmarkStart w:id="18" w:name="_Toc279769035"/>
      <w:bookmarkStart w:id="19" w:name="_Toc305941521"/>
      <w:bookmarkStart w:id="20" w:name="_Toc13932"/>
      <w:bookmarkStart w:id="21" w:name="_Toc305941229"/>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互感器测试仪（含感应耐压）</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ind w:left="410"/>
        <w:rPr>
          <w:highlight w:val="none"/>
        </w:rPr>
      </w:pPr>
      <w:bookmarkStart w:id="30" w:name="_Toc397006845"/>
      <w:r>
        <w:rPr>
          <w:rFonts w:hint="eastAsia"/>
          <w:highlight w:val="none"/>
        </w:rPr>
        <w:t>环境温度：</w:t>
      </w:r>
      <w:r>
        <w:rPr>
          <w:rFonts w:hint="eastAsia"/>
          <w:highlight w:val="none"/>
          <w:lang w:val="zh-CN"/>
        </w:rPr>
        <w:t>-10～50℃</w:t>
      </w:r>
    </w:p>
    <w:p>
      <w:pPr>
        <w:ind w:left="410"/>
        <w:rPr>
          <w:rFonts w:hint="eastAsia"/>
          <w:highlight w:val="none"/>
        </w:rPr>
      </w:pPr>
      <w:r>
        <w:rPr>
          <w:rFonts w:hint="eastAsia"/>
          <w:highlight w:val="none"/>
        </w:rPr>
        <w:t>环境湿度：</w:t>
      </w:r>
      <w:r>
        <w:rPr>
          <w:rFonts w:hint="eastAsia"/>
          <w:szCs w:val="21"/>
          <w:highlight w:val="none"/>
          <w:lang w:val="zh-CN"/>
        </w:rPr>
        <w:t>≤90</w:t>
      </w:r>
      <w:r>
        <w:rPr>
          <w:szCs w:val="21"/>
          <w:highlight w:val="none"/>
          <w:lang w:val="zh-CN"/>
        </w:rPr>
        <w:t>%</w:t>
      </w:r>
      <w:r>
        <w:rPr>
          <w:rFonts w:hint="eastAsia"/>
          <w:szCs w:val="21"/>
          <w:highlight w:val="none"/>
          <w:lang w:val="zh-CN"/>
        </w:rPr>
        <w:t>RH</w:t>
      </w:r>
    </w:p>
    <w:p>
      <w:pPr>
        <w:ind w:left="410"/>
        <w:rPr>
          <w:highlight w:val="none"/>
        </w:rPr>
      </w:pPr>
      <w:r>
        <w:rPr>
          <w:rFonts w:hint="eastAsia"/>
          <w:highlight w:val="none"/>
        </w:rPr>
        <w:t>使用地点：</w:t>
      </w:r>
      <w:r>
        <w:rPr>
          <w:rFonts w:hint="eastAsia"/>
          <w:color w:val="auto"/>
          <w:highlight w:val="none"/>
        </w:rPr>
        <w:t>室内、室外</w:t>
      </w:r>
    </w:p>
    <w:p>
      <w:pPr>
        <w:ind w:left="410"/>
        <w:rPr>
          <w:rFonts w:hint="eastAsia"/>
          <w:color w:val="FF0000"/>
          <w:highlight w:val="none"/>
        </w:rPr>
      </w:pPr>
      <w:r>
        <w:rPr>
          <w:rFonts w:hint="eastAsia"/>
          <w:highlight w:val="none"/>
        </w:rPr>
        <w:t>工作电源：198～264V AC，47～63Hz</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互感器测试仪（含感应耐压）</w:t>
      </w:r>
      <w:r>
        <w:rPr>
          <w:rFonts w:hint="eastAsia"/>
          <w:color w:val="auto"/>
          <w:highlight w:val="none"/>
          <w:shd w:val="clear" w:color="auto" w:fill="FFFFFF"/>
        </w:rPr>
        <w:t>功能</w:t>
      </w:r>
      <w:r>
        <w:rPr>
          <w:rFonts w:hint="eastAsia"/>
          <w:highlight w:val="none"/>
        </w:rPr>
        <w:t>要求</w:t>
      </w:r>
    </w:p>
    <w:p>
      <w:pPr>
        <w:spacing w:line="400" w:lineRule="exact"/>
        <w:jc w:val="both"/>
        <w:rPr>
          <w:rFonts w:hint="eastAsia"/>
          <w:highlight w:val="none"/>
        </w:rPr>
      </w:pPr>
      <w:r>
        <w:rPr>
          <w:rFonts w:hint="eastAsia"/>
          <w:szCs w:val="20"/>
          <w:highlight w:val="none"/>
        </w:rPr>
        <w:t>★</w:t>
      </w:r>
      <w:r>
        <w:rPr>
          <w:rFonts w:hint="eastAsia"/>
          <w:highlight w:val="none"/>
        </w:rPr>
        <w:t>1、综合</w:t>
      </w:r>
      <w:r>
        <w:rPr>
          <w:rFonts w:hint="eastAsia"/>
          <w:kern w:val="0"/>
          <w:highlight w:val="none"/>
        </w:rPr>
        <w:t>采用直流法和变频法试验电流互感器励磁电压80kV以下的励磁特性，速度极快。</w:t>
      </w:r>
    </w:p>
    <w:p>
      <w:pPr>
        <w:spacing w:line="400" w:lineRule="exact"/>
        <w:jc w:val="both"/>
        <w:rPr>
          <w:rFonts w:hint="eastAsia"/>
          <w:highlight w:val="none"/>
        </w:rPr>
      </w:pPr>
      <w:bookmarkStart w:id="32" w:name="_Hlk65836244"/>
      <w:r>
        <w:rPr>
          <w:rFonts w:hint="eastAsia"/>
          <w:szCs w:val="20"/>
          <w:highlight w:val="none"/>
        </w:rPr>
        <w:t>★</w:t>
      </w:r>
      <w:r>
        <w:rPr>
          <w:rFonts w:hint="eastAsia"/>
          <w:highlight w:val="none"/>
        </w:rPr>
        <w:t>2、采用电压法测试电流互感器（包含变压器套管内CT）变比、极性。</w:t>
      </w:r>
    </w:p>
    <w:p>
      <w:pPr>
        <w:spacing w:line="400" w:lineRule="exact"/>
        <w:jc w:val="both"/>
        <w:rPr>
          <w:rFonts w:hint="eastAsia"/>
          <w:highlight w:val="none"/>
        </w:rPr>
      </w:pPr>
      <w:r>
        <w:rPr>
          <w:rFonts w:hint="eastAsia"/>
          <w:szCs w:val="20"/>
          <w:highlight w:val="none"/>
        </w:rPr>
        <w:t>★</w:t>
      </w:r>
      <w:r>
        <w:rPr>
          <w:rFonts w:hint="eastAsia"/>
          <w:highlight w:val="none"/>
        </w:rPr>
        <w:t>3、内置电源具有输出电流方式，可</w:t>
      </w:r>
      <w:r>
        <w:rPr>
          <w:highlight w:val="none"/>
        </w:rPr>
        <w:t>采用电流法测试电流互感器变比、极性以及检查</w:t>
      </w:r>
      <w:r>
        <w:rPr>
          <w:rFonts w:hint="eastAsia"/>
          <w:highlight w:val="none"/>
        </w:rPr>
        <w:t>C</w:t>
      </w:r>
      <w:r>
        <w:rPr>
          <w:highlight w:val="none"/>
        </w:rPr>
        <w:t>T二次回路完整性。</w:t>
      </w:r>
    </w:p>
    <w:bookmarkEnd w:id="32"/>
    <w:p>
      <w:pPr>
        <w:spacing w:line="400" w:lineRule="exact"/>
        <w:jc w:val="both"/>
        <w:rPr>
          <w:rFonts w:hint="eastAsia"/>
          <w:highlight w:val="none"/>
        </w:rPr>
      </w:pPr>
      <w:r>
        <w:rPr>
          <w:rFonts w:hint="eastAsia"/>
          <w:szCs w:val="20"/>
          <w:highlight w:val="none"/>
        </w:rPr>
        <w:t>★</w:t>
      </w:r>
      <w:r>
        <w:rPr>
          <w:rFonts w:hint="eastAsia"/>
          <w:highlight w:val="none"/>
        </w:rPr>
        <w:t>4、具有升流输出功能，外置升流器输出最大电流200A（选配）。</w:t>
      </w:r>
    </w:p>
    <w:p>
      <w:pPr>
        <w:spacing w:line="400" w:lineRule="exact"/>
        <w:jc w:val="both"/>
        <w:rPr>
          <w:rFonts w:hint="eastAsia"/>
          <w:highlight w:val="none"/>
        </w:rPr>
      </w:pPr>
      <w:r>
        <w:rPr>
          <w:rFonts w:hint="eastAsia"/>
          <w:szCs w:val="20"/>
          <w:highlight w:val="none"/>
        </w:rPr>
        <w:t>★</w:t>
      </w:r>
      <w:r>
        <w:rPr>
          <w:rFonts w:hint="eastAsia"/>
          <w:highlight w:val="none"/>
        </w:rPr>
        <w:t xml:space="preserve">5、测量电流互感器二次绕组直流电阻。 </w:t>
      </w:r>
    </w:p>
    <w:p>
      <w:pPr>
        <w:spacing w:line="400" w:lineRule="exact"/>
        <w:jc w:val="both"/>
        <w:rPr>
          <w:rFonts w:hint="eastAsia"/>
          <w:highlight w:val="none"/>
        </w:rPr>
      </w:pPr>
      <w:r>
        <w:rPr>
          <w:rFonts w:hint="eastAsia"/>
          <w:szCs w:val="20"/>
          <w:highlight w:val="none"/>
        </w:rPr>
        <w:t>★</w:t>
      </w:r>
      <w:r>
        <w:rPr>
          <w:rFonts w:hint="eastAsia"/>
          <w:highlight w:val="none"/>
        </w:rPr>
        <w:t>6、测量电流互感器二次回路负载。</w:t>
      </w:r>
    </w:p>
    <w:p>
      <w:pPr>
        <w:spacing w:line="400" w:lineRule="exact"/>
        <w:jc w:val="both"/>
        <w:rPr>
          <w:rFonts w:hint="eastAsia"/>
          <w:highlight w:val="none"/>
        </w:rPr>
      </w:pPr>
      <w:r>
        <w:rPr>
          <w:rFonts w:hint="eastAsia"/>
          <w:szCs w:val="20"/>
          <w:highlight w:val="none"/>
        </w:rPr>
        <w:t>★</w:t>
      </w:r>
      <w:r>
        <w:rPr>
          <w:rFonts w:hint="eastAsia"/>
          <w:highlight w:val="none"/>
        </w:rPr>
        <w:t xml:space="preserve">7、测试电压互感器励磁特性、空载电流、变比、极性、二次绕组直流电阻。 </w:t>
      </w:r>
    </w:p>
    <w:p>
      <w:pPr>
        <w:spacing w:line="400" w:lineRule="exact"/>
        <w:jc w:val="both"/>
        <w:rPr>
          <w:rFonts w:hint="eastAsia"/>
          <w:b/>
          <w:bCs/>
          <w:color w:val="FF0000"/>
          <w:highlight w:val="none"/>
        </w:rPr>
      </w:pPr>
      <w:r>
        <w:rPr>
          <w:rFonts w:hint="eastAsia"/>
          <w:szCs w:val="20"/>
          <w:highlight w:val="none"/>
        </w:rPr>
        <w:t>★</w:t>
      </w:r>
      <w:r>
        <w:rPr>
          <w:rFonts w:hint="eastAsia"/>
          <w:highlight w:val="none"/>
        </w:rPr>
        <w:t>8、</w:t>
      </w:r>
      <w:r>
        <w:rPr>
          <w:rFonts w:hint="eastAsia"/>
          <w:b/>
          <w:bCs/>
          <w:highlight w:val="none"/>
        </w:rPr>
        <w:t>具有电压互感器感应耐压试验功能。</w:t>
      </w:r>
      <w:r>
        <w:rPr>
          <w:rFonts w:hint="eastAsia"/>
          <w:b/>
          <w:bCs/>
          <w:color w:val="auto"/>
          <w:highlight w:val="none"/>
        </w:rPr>
        <w:t>（</w:t>
      </w:r>
      <w:r>
        <w:rPr>
          <w:rFonts w:hint="eastAsia"/>
          <w:b/>
          <w:bCs/>
          <w:color w:val="auto"/>
          <w:highlight w:val="none"/>
          <w:lang w:val="en-US" w:eastAsia="zh-CN"/>
        </w:rPr>
        <w:t>同时</w:t>
      </w:r>
      <w:r>
        <w:rPr>
          <w:rFonts w:hint="eastAsia"/>
          <w:b/>
          <w:bCs/>
          <w:color w:val="auto"/>
          <w:highlight w:val="none"/>
        </w:rPr>
        <w:t>配置电感5个）</w:t>
      </w:r>
    </w:p>
    <w:p>
      <w:pPr>
        <w:spacing w:line="400" w:lineRule="exact"/>
        <w:jc w:val="both"/>
        <w:rPr>
          <w:rFonts w:hint="eastAsia"/>
          <w:highlight w:val="none"/>
        </w:rPr>
      </w:pPr>
      <w:r>
        <w:rPr>
          <w:rFonts w:hint="eastAsia"/>
          <w:highlight w:val="none"/>
        </w:rPr>
        <w:t>9、按IEC60044-1（GB1208-2006）、IEC60044-6（GB16847-1997）标准绘制励磁曲线和计算拐点电压/电流。</w:t>
      </w:r>
    </w:p>
    <w:p>
      <w:pPr>
        <w:spacing w:line="400" w:lineRule="exact"/>
        <w:jc w:val="both"/>
        <w:rPr>
          <w:rFonts w:hint="eastAsia"/>
          <w:highlight w:val="none"/>
        </w:rPr>
      </w:pPr>
      <w:r>
        <w:rPr>
          <w:rFonts w:hint="eastAsia"/>
          <w:szCs w:val="20"/>
          <w:highlight w:val="none"/>
        </w:rPr>
        <w:t>★</w:t>
      </w:r>
      <w:r>
        <w:rPr>
          <w:rFonts w:hint="eastAsia"/>
          <w:highlight w:val="none"/>
        </w:rPr>
        <w:t>11、比值差、相位差测量。</w:t>
      </w:r>
    </w:p>
    <w:p>
      <w:pPr>
        <w:spacing w:line="400" w:lineRule="exact"/>
        <w:jc w:val="both"/>
        <w:rPr>
          <w:rFonts w:hint="eastAsia"/>
          <w:highlight w:val="none"/>
        </w:rPr>
      </w:pPr>
      <w:r>
        <w:rPr>
          <w:rFonts w:hint="eastAsia"/>
          <w:szCs w:val="20"/>
          <w:highlight w:val="none"/>
        </w:rPr>
        <w:t>★</w:t>
      </w:r>
      <w:r>
        <w:rPr>
          <w:rFonts w:hint="eastAsia"/>
          <w:highlight w:val="none"/>
        </w:rPr>
        <w:t>12、测定剩磁系数、励磁电感、二次时间常数、暂态面积系数、峰值瞬时误差、准确限值系数、仪表保安系数。</w:t>
      </w:r>
    </w:p>
    <w:p>
      <w:pPr>
        <w:spacing w:line="400" w:lineRule="exact"/>
        <w:jc w:val="both"/>
        <w:rPr>
          <w:rFonts w:hint="eastAsia"/>
          <w:highlight w:val="none"/>
        </w:rPr>
      </w:pPr>
      <w:r>
        <w:rPr>
          <w:rFonts w:hint="eastAsia"/>
          <w:highlight w:val="none"/>
        </w:rPr>
        <w:t>13、绘制电流互感器磁滞回线。</w:t>
      </w:r>
    </w:p>
    <w:p>
      <w:pPr>
        <w:spacing w:line="400" w:lineRule="exact"/>
        <w:jc w:val="both"/>
        <w:rPr>
          <w:rFonts w:hint="eastAsia"/>
          <w:highlight w:val="none"/>
        </w:rPr>
      </w:pPr>
      <w:r>
        <w:rPr>
          <w:rFonts w:hint="eastAsia"/>
          <w:highlight w:val="none"/>
        </w:rPr>
        <w:t>14、透反式显示器，室内外均可清晰显示数据和曲线。</w:t>
      </w:r>
    </w:p>
    <w:p>
      <w:pPr>
        <w:spacing w:line="400" w:lineRule="exact"/>
        <w:jc w:val="both"/>
        <w:rPr>
          <w:rFonts w:hint="eastAsia"/>
          <w:highlight w:val="none"/>
        </w:rPr>
      </w:pPr>
      <w:r>
        <w:rPr>
          <w:rFonts w:hint="eastAsia"/>
          <w:szCs w:val="20"/>
          <w:highlight w:val="none"/>
        </w:rPr>
        <w:t>★</w:t>
      </w:r>
      <w:r>
        <w:rPr>
          <w:rFonts w:hint="eastAsia"/>
          <w:highlight w:val="none"/>
        </w:rPr>
        <w:t>15、高速热敏打印机可打印测试数据和曲线。</w:t>
      </w:r>
    </w:p>
    <w:p>
      <w:pPr>
        <w:spacing w:line="400" w:lineRule="exact"/>
        <w:jc w:val="both"/>
        <w:rPr>
          <w:rFonts w:hint="eastAsia"/>
          <w:highlight w:val="none"/>
        </w:rPr>
      </w:pPr>
      <w:r>
        <w:rPr>
          <w:rFonts w:hint="eastAsia"/>
          <w:highlight w:val="none"/>
        </w:rPr>
        <w:t>16、自动检测接线，接线错误报警提示。</w:t>
      </w:r>
    </w:p>
    <w:p>
      <w:pPr>
        <w:spacing w:line="400" w:lineRule="exact"/>
        <w:jc w:val="both"/>
        <w:rPr>
          <w:rFonts w:hint="eastAsia"/>
          <w:highlight w:val="none"/>
        </w:rPr>
      </w:pPr>
      <w:r>
        <w:rPr>
          <w:rFonts w:hint="eastAsia"/>
          <w:highlight w:val="none"/>
        </w:rPr>
        <w:t>17、内置超大容量存储器可存储20000组绕组测试数据，掉电不丢失。</w:t>
      </w:r>
    </w:p>
    <w:p>
      <w:pPr>
        <w:spacing w:line="400" w:lineRule="exact"/>
        <w:jc w:val="both"/>
        <w:rPr>
          <w:rFonts w:hint="eastAsia"/>
          <w:highlight w:val="none"/>
        </w:rPr>
      </w:pPr>
      <w:r>
        <w:rPr>
          <w:rFonts w:hint="eastAsia"/>
          <w:highlight w:val="none"/>
        </w:rPr>
        <w:t>18、使用U盘将测试数据转存至PC机生成word格式报告。</w:t>
      </w:r>
    </w:p>
    <w:p>
      <w:pPr>
        <w:spacing w:line="400" w:lineRule="exact"/>
        <w:jc w:val="both"/>
        <w:rPr>
          <w:rFonts w:hint="eastAsia"/>
          <w:highlight w:val="none"/>
        </w:rPr>
      </w:pPr>
      <w:r>
        <w:rPr>
          <w:rFonts w:hint="eastAsia"/>
          <w:highlight w:val="none"/>
        </w:rPr>
        <w:t>19、使用U盘升级软件。</w:t>
      </w:r>
    </w:p>
    <w:p>
      <w:pPr>
        <w:spacing w:line="400" w:lineRule="exact"/>
        <w:jc w:val="both"/>
        <w:rPr>
          <w:rFonts w:asciiTheme="minorEastAsia" w:hAnsiTheme="minorEastAsia" w:eastAsiaTheme="minorEastAsia"/>
          <w:color w:val="auto"/>
          <w:highlight w:val="none"/>
        </w:rPr>
      </w:pPr>
      <w:r>
        <w:rPr>
          <w:rFonts w:hint="eastAsia" w:eastAsia="宋体" w:cs="Times New Roman"/>
          <w:highlight w:val="none"/>
          <w:lang w:val="en-US" w:eastAsia="zh-CN"/>
        </w:rPr>
        <w:t>20</w:t>
      </w:r>
      <w:r>
        <w:rPr>
          <w:rFonts w:hint="eastAsia" w:eastAsia="宋体" w:cs="Times New Roman"/>
          <w:highlight w:val="none"/>
        </w:rPr>
        <w:t>、简体中文、英文操作界面任意切换。</w:t>
      </w:r>
    </w:p>
    <w:p>
      <w:pPr>
        <w:keepLines w:val="0"/>
        <w:pageBreakBefore w:val="0"/>
        <w:kinsoku/>
        <w:wordWrap/>
        <w:bidi w:val="0"/>
        <w:spacing w:line="500" w:lineRule="exact"/>
        <w:ind w:left="410"/>
        <w:rPr>
          <w:rFonts w:hint="eastAsia" w:asciiTheme="minorEastAsia" w:hAnsiTheme="minorEastAsia" w:eastAsiaTheme="minorEastAsia"/>
          <w:highlight w:val="none"/>
          <w:lang w:val="en-US" w:eastAsia="zh-CN"/>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互感器测试仪（含感应耐压）</w:t>
      </w:r>
      <w:r>
        <w:rPr>
          <w:rFonts w:hint="eastAsia"/>
          <w:color w:val="auto"/>
          <w:highlight w:val="none"/>
          <w:shd w:val="clear" w:color="auto" w:fill="FFFFFF"/>
        </w:rPr>
        <w:t>技术指标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3117"/>
        <w:gridCol w:w="3034"/>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序号</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性能参数</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招标人要求值</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输出电压</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0～360V AC</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2</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szCs w:val="20"/>
                <w:highlight w:val="none"/>
              </w:rPr>
              <w:t>★</w:t>
            </w:r>
            <w:r>
              <w:rPr>
                <w:rFonts w:hint="eastAsia"/>
                <w:highlight w:val="none"/>
              </w:rPr>
              <w:t>输出电流</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0～</w:t>
            </w:r>
            <w:r>
              <w:rPr>
                <w:rFonts w:hint="eastAsia"/>
                <w:highlight w:val="none"/>
                <w:lang w:val="en-US" w:eastAsia="zh-CN"/>
              </w:rPr>
              <w:t>2</w:t>
            </w:r>
            <w:r>
              <w:rPr>
                <w:rFonts w:hint="eastAsia"/>
                <w:highlight w:val="none"/>
              </w:rPr>
              <w:t>0Arms，峰值</w:t>
            </w:r>
            <w:r>
              <w:rPr>
                <w:rFonts w:hint="eastAsia"/>
                <w:highlight w:val="none"/>
                <w:lang w:val="en-US" w:eastAsia="zh-CN"/>
              </w:rPr>
              <w:t>3</w:t>
            </w:r>
            <w:r>
              <w:rPr>
                <w:rFonts w:hint="eastAsia"/>
                <w:highlight w:val="none"/>
              </w:rPr>
              <w:t>0A</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3</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szCs w:val="20"/>
                <w:highlight w:val="none"/>
              </w:rPr>
              <w:t>★</w:t>
            </w:r>
            <w:r>
              <w:rPr>
                <w:rFonts w:hint="eastAsia"/>
                <w:highlight w:val="none"/>
              </w:rPr>
              <w:t>外接升流器输出电流</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0～200A AC</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4</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szCs w:val="20"/>
                <w:highlight w:val="none"/>
              </w:rPr>
              <w:t>★</w:t>
            </w:r>
            <w:r>
              <w:rPr>
                <w:rFonts w:hint="eastAsia"/>
                <w:highlight w:val="none"/>
              </w:rPr>
              <w:t>输出功率</w:t>
            </w:r>
          </w:p>
        </w:tc>
        <w:tc>
          <w:tcPr>
            <w:tcW w:w="3034" w:type="dxa"/>
          </w:tcPr>
          <w:p>
            <w:pPr>
              <w:spacing w:line="400" w:lineRule="exact"/>
              <w:rPr>
                <w:rFonts w:hint="eastAsia"/>
                <w:color w:val="auto"/>
                <w:highlight w:val="none"/>
                <w:shd w:val="clear" w:color="auto" w:fill="FFFFFF"/>
                <w:vertAlign w:val="baseline"/>
              </w:rPr>
            </w:pPr>
            <w:r>
              <w:rPr>
                <w:rFonts w:hint="eastAsia"/>
                <w:highlight w:val="none"/>
              </w:rPr>
              <w:t>0～3600VA</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5</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szCs w:val="20"/>
                <w:highlight w:val="none"/>
              </w:rPr>
              <w:t>★</w:t>
            </w:r>
            <w:r>
              <w:rPr>
                <w:rFonts w:hint="eastAsia"/>
                <w:highlight w:val="none"/>
              </w:rPr>
              <w:t>输出频率</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lang w:val="zh-CN"/>
              </w:rPr>
              <w:t>≤6</w:t>
            </w:r>
            <w:r>
              <w:rPr>
                <w:highlight w:val="none"/>
                <w:lang w:val="zh-CN"/>
              </w:rPr>
              <w:t>0Hz</w:t>
            </w:r>
            <w:r>
              <w:rPr>
                <w:rFonts w:hint="eastAsia"/>
                <w:highlight w:val="none"/>
                <w:lang w:val="zh-CN"/>
              </w:rPr>
              <w:t>、</w:t>
            </w:r>
            <w:r>
              <w:rPr>
                <w:highlight w:val="none"/>
                <w:lang w:val="zh-CN"/>
              </w:rPr>
              <w:t>100Hz</w:t>
            </w:r>
            <w:r>
              <w:rPr>
                <w:rFonts w:hint="eastAsia"/>
                <w:highlight w:val="none"/>
                <w:lang w:val="zh-CN"/>
              </w:rPr>
              <w:t>、1</w:t>
            </w:r>
            <w:r>
              <w:rPr>
                <w:highlight w:val="none"/>
                <w:lang w:val="zh-CN"/>
              </w:rPr>
              <w:t>50Hz</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6</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二次电压测量范围</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2～360V AC</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7</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highlight w:val="none"/>
              </w:rPr>
              <w:t>二次</w:t>
            </w:r>
            <w:r>
              <w:rPr>
                <w:rFonts w:hint="eastAsia"/>
                <w:highlight w:val="none"/>
              </w:rPr>
              <w:t>电压测量准确度</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±（0.1%U+20mV）</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8</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highlight w:val="none"/>
              </w:rPr>
              <w:t>一次电压测量范围</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0～</w:t>
            </w:r>
            <w:r>
              <w:rPr>
                <w:highlight w:val="none"/>
              </w:rPr>
              <w:t>20V AC</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9</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输出电流测量范围</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0.01～10A</w:t>
            </w:r>
            <w:r>
              <w:rPr>
                <w:highlight w:val="none"/>
              </w:rPr>
              <w:t xml:space="preserve"> AC</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10</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输出电流测量准确度</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±（0.1%I+2mA）</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11</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szCs w:val="20"/>
                <w:highlight w:val="none"/>
              </w:rPr>
              <w:t>★</w:t>
            </w:r>
            <w:r>
              <w:rPr>
                <w:highlight w:val="none"/>
              </w:rPr>
              <w:t>二次电流测量范围</w:t>
            </w:r>
          </w:p>
        </w:tc>
        <w:tc>
          <w:tcPr>
            <w:tcW w:w="3034"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0～5</w:t>
            </w:r>
            <w:r>
              <w:rPr>
                <w:highlight w:val="none"/>
              </w:rPr>
              <w:t>A AC</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12</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highlight w:val="none"/>
              </w:rPr>
              <w:t>二次电流测量准确度</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±（0.1%I+2mA）</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13</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szCs w:val="20"/>
                <w:highlight w:val="none"/>
              </w:rPr>
              <w:t>★</w:t>
            </w:r>
            <w:r>
              <w:rPr>
                <w:rFonts w:hint="eastAsia"/>
                <w:highlight w:val="none"/>
              </w:rPr>
              <w:t>绕组电阻测量范围</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0～300Ω</w:t>
            </w:r>
            <w:r>
              <w:rPr>
                <w:highlight w:val="none"/>
              </w:rPr>
              <w:t>，</w:t>
            </w:r>
            <w:r>
              <w:rPr>
                <w:rFonts w:hint="eastAsia"/>
                <w:highlight w:val="none"/>
              </w:rPr>
              <w:t>辨力1mΩ</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14</w:t>
            </w:r>
          </w:p>
        </w:tc>
        <w:tc>
          <w:tcPr>
            <w:tcW w:w="3117"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绕组电阻测量</w:t>
            </w:r>
            <w:r>
              <w:rPr>
                <w:highlight w:val="none"/>
              </w:rPr>
              <w:t>准确度</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±（0.1%R+1mΩ）</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15</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交流负载测量</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0～1000VA，分辨力0.0</w:t>
            </w:r>
            <w:r>
              <w:rPr>
                <w:highlight w:val="none"/>
              </w:rPr>
              <w:t>0</w:t>
            </w:r>
            <w:r>
              <w:rPr>
                <w:rFonts w:hint="eastAsia"/>
                <w:highlight w:val="none"/>
              </w:rPr>
              <w:t>1VA</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16</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变比测量范围</w:t>
            </w:r>
          </w:p>
        </w:tc>
        <w:tc>
          <w:tcPr>
            <w:tcW w:w="3034" w:type="dxa"/>
          </w:tcPr>
          <w:p>
            <w:pPr>
              <w:spacing w:line="400" w:lineRule="exact"/>
              <w:rPr>
                <w:rFonts w:hint="eastAsia"/>
                <w:color w:val="auto"/>
                <w:highlight w:val="none"/>
                <w:shd w:val="clear" w:color="auto" w:fill="FFFFFF"/>
                <w:vertAlign w:val="baseline"/>
              </w:rPr>
            </w:pPr>
            <w:r>
              <w:rPr>
                <w:rFonts w:hint="eastAsia"/>
                <w:highlight w:val="none"/>
              </w:rPr>
              <w:t>1～35000</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17</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额定电流变比误差</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highlight w:val="none"/>
              </w:rPr>
              <w:t>1～5000时，误差±0.1%；5000以上时，误差±0.2%</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18</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额定电流相位误差</w:t>
            </w:r>
          </w:p>
        </w:tc>
        <w:tc>
          <w:tcPr>
            <w:tcW w:w="3034" w:type="dxa"/>
          </w:tcPr>
          <w:p>
            <w:pPr>
              <w:spacing w:line="400" w:lineRule="exact"/>
              <w:ind w:left="0" w:leftChars="0" w:firstLine="0" w:firstLineChars="0"/>
              <w:rPr>
                <w:rFonts w:hint="eastAsia"/>
                <w:color w:val="auto"/>
                <w:highlight w:val="none"/>
                <w:shd w:val="clear" w:color="auto" w:fill="FFFFFF"/>
                <w:vertAlign w:val="baseline"/>
              </w:rPr>
            </w:pPr>
            <w:r>
              <w:rPr>
                <w:rFonts w:hint="eastAsia"/>
                <w:highlight w:val="none"/>
              </w:rPr>
              <w:t>cosφ=0.8</w:t>
            </w:r>
            <w:r>
              <w:rPr>
                <w:rFonts w:hint="eastAsia"/>
                <w:highlight w:val="none"/>
                <w:lang w:val="zh-CN"/>
              </w:rPr>
              <w:t>～1时，3min, 分辨力0.1min</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19</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rPr>
              <w:t>工作电源</w:t>
            </w:r>
          </w:p>
        </w:tc>
        <w:tc>
          <w:tcPr>
            <w:tcW w:w="3034"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highlight w:val="none"/>
              </w:rPr>
              <w:t>198～264V AC，47～63Hz</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20</w:t>
            </w:r>
          </w:p>
        </w:tc>
        <w:tc>
          <w:tcPr>
            <w:tcW w:w="3117"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highlight w:val="none"/>
                <w:lang w:val="zh-CN"/>
              </w:rPr>
              <w:t>工作条件</w:t>
            </w:r>
          </w:p>
        </w:tc>
        <w:tc>
          <w:tcPr>
            <w:tcW w:w="3034" w:type="dxa"/>
          </w:tcPr>
          <w:p>
            <w:pPr>
              <w:spacing w:line="400" w:lineRule="exact"/>
              <w:ind w:left="0" w:leftChars="0" w:firstLine="0" w:firstLineChars="0"/>
              <w:rPr>
                <w:rFonts w:hint="eastAsia"/>
                <w:color w:val="auto"/>
                <w:highlight w:val="none"/>
                <w:shd w:val="clear" w:color="auto" w:fill="FFFFFF"/>
                <w:vertAlign w:val="baseline"/>
              </w:rPr>
            </w:pPr>
            <w:r>
              <w:rPr>
                <w:rFonts w:hint="eastAsia"/>
                <w:highlight w:val="none"/>
                <w:lang w:val="zh-CN"/>
              </w:rPr>
              <w:t>温度-10～50℃，湿度≤90%RH，不结露</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bl>
    <w:p>
      <w:pPr>
        <w:spacing w:line="400" w:lineRule="exact"/>
        <w:rPr>
          <w:rFonts w:hint="eastAsia" w:eastAsia="宋体" w:cs="Times New Roman"/>
          <w:highlight w:val="none"/>
          <w:lang w:val="en-US" w:eastAsia="zh-CN"/>
        </w:rPr>
      </w:pPr>
      <w:bookmarkStart w:id="33" w:name="_Toc14198"/>
      <w:r>
        <w:rPr>
          <w:rFonts w:hint="eastAsia"/>
          <w:szCs w:val="20"/>
          <w:highlight w:val="none"/>
        </w:rPr>
        <w:t>★</w:t>
      </w:r>
      <w:r>
        <w:rPr>
          <w:highlight w:val="none"/>
        </w:rPr>
        <w:t>2</w:t>
      </w:r>
      <w:r>
        <w:rPr>
          <w:rFonts w:hint="eastAsia"/>
          <w:highlight w:val="none"/>
          <w:lang w:val="en-US" w:eastAsia="zh-CN"/>
        </w:rPr>
        <w:t>1</w:t>
      </w:r>
      <w:r>
        <w:rPr>
          <w:highlight w:val="none"/>
        </w:rPr>
        <w:t>、</w:t>
      </w:r>
      <w:r>
        <w:rPr>
          <w:rFonts w:hint="eastAsia" w:eastAsia="宋体" w:cs="Times New Roman"/>
          <w:highlight w:val="none"/>
        </w:rPr>
        <w:t>电感</w:t>
      </w:r>
      <w:r>
        <w:rPr>
          <w:rFonts w:hint="eastAsia" w:eastAsia="宋体" w:cs="Times New Roman"/>
          <w:highlight w:val="none"/>
          <w:lang w:val="en-US" w:eastAsia="zh-CN"/>
        </w:rPr>
        <w:t>参数（见下表），</w:t>
      </w:r>
      <w:r>
        <w:rPr>
          <w:rFonts w:hint="eastAsia" w:eastAsia="宋体" w:cs="Times New Roman"/>
          <w:highlight w:val="none"/>
        </w:rPr>
        <w:t>电感</w:t>
      </w:r>
      <w:r>
        <w:rPr>
          <w:rFonts w:hint="eastAsia" w:eastAsia="宋体" w:cs="Times New Roman"/>
          <w:highlight w:val="none"/>
          <w:lang w:val="en-US" w:eastAsia="zh-CN"/>
        </w:rPr>
        <w:t>重量：</w:t>
      </w:r>
      <w:r>
        <w:rPr>
          <w:rFonts w:hint="eastAsia"/>
          <w:highlight w:val="none"/>
          <w:lang w:val="zh-CN"/>
        </w:rPr>
        <w:t>≤</w:t>
      </w:r>
      <w:r>
        <w:rPr>
          <w:rFonts w:hint="eastAsia"/>
          <w:highlight w:val="none"/>
        </w:rPr>
        <w:t>1</w:t>
      </w:r>
      <w:r>
        <w:rPr>
          <w:rFonts w:hint="eastAsia"/>
          <w:highlight w:val="none"/>
          <w:lang w:val="en-US" w:eastAsia="zh-CN"/>
        </w:rPr>
        <w:t>0</w:t>
      </w:r>
      <w:r>
        <w:rPr>
          <w:highlight w:val="none"/>
        </w:rPr>
        <w:t>kg</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346"/>
        <w:gridCol w:w="1185"/>
        <w:gridCol w:w="1226"/>
        <w:gridCol w:w="1226"/>
        <w:gridCol w:w="1185"/>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restart"/>
            <w:noWrap w:val="0"/>
            <w:vAlign w:val="top"/>
          </w:tcPr>
          <w:p>
            <w:pPr>
              <w:rPr>
                <w:rFonts w:hint="eastAsia"/>
                <w:highlight w:val="none"/>
              </w:rPr>
            </w:pPr>
            <w:r>
              <w:rPr>
                <w:rFonts w:hint="eastAsia"/>
                <w:highlight w:val="none"/>
              </w:rPr>
              <w:t>绕组</w:t>
            </w:r>
          </w:p>
        </w:tc>
        <w:tc>
          <w:tcPr>
            <w:tcW w:w="1185" w:type="dxa"/>
            <w:vMerge w:val="restart"/>
            <w:noWrap w:val="0"/>
            <w:vAlign w:val="top"/>
          </w:tcPr>
          <w:p>
            <w:pPr>
              <w:rPr>
                <w:rFonts w:hint="eastAsia"/>
                <w:highlight w:val="none"/>
              </w:rPr>
            </w:pPr>
            <w:r>
              <w:rPr>
                <w:rFonts w:hint="eastAsia"/>
                <w:highlight w:val="none"/>
              </w:rPr>
              <w:t>L（m</w:t>
            </w:r>
            <w:r>
              <w:rPr>
                <w:highlight w:val="none"/>
              </w:rPr>
              <w:t>L</w:t>
            </w:r>
            <w:r>
              <w:rPr>
                <w:rFonts w:hint="eastAsia"/>
                <w:highlight w:val="none"/>
              </w:rPr>
              <w:t>）</w:t>
            </w:r>
          </w:p>
        </w:tc>
        <w:tc>
          <w:tcPr>
            <w:tcW w:w="3555" w:type="dxa"/>
            <w:gridSpan w:val="3"/>
            <w:noWrap w:val="0"/>
            <w:vAlign w:val="top"/>
          </w:tcPr>
          <w:p>
            <w:pPr>
              <w:jc w:val="center"/>
              <w:rPr>
                <w:rFonts w:hint="eastAsia"/>
                <w:highlight w:val="none"/>
              </w:rPr>
            </w:pPr>
            <w:r>
              <w:rPr>
                <w:rFonts w:hint="eastAsia"/>
                <w:highlight w:val="none"/>
              </w:rPr>
              <w:t>最高电压</w:t>
            </w:r>
          </w:p>
        </w:tc>
        <w:tc>
          <w:tcPr>
            <w:tcW w:w="1185" w:type="dxa"/>
            <w:vMerge w:val="restart"/>
            <w:noWrap w:val="0"/>
            <w:vAlign w:val="top"/>
          </w:tcPr>
          <w:p>
            <w:pPr>
              <w:rPr>
                <w:rFonts w:hint="eastAsia"/>
                <w:highlight w:val="none"/>
              </w:rPr>
            </w:pPr>
            <w:r>
              <w:rPr>
                <w:rFonts w:hint="eastAsia"/>
                <w:highlight w:val="none"/>
              </w:rPr>
              <w:t>最大电流</w:t>
            </w:r>
          </w:p>
        </w:tc>
        <w:tc>
          <w:tcPr>
            <w:tcW w:w="1186" w:type="dxa"/>
            <w:vMerge w:val="restart"/>
            <w:noWrap w:val="0"/>
            <w:vAlign w:val="top"/>
          </w:tcPr>
          <w:p>
            <w:pPr>
              <w:rPr>
                <w:rFonts w:hint="eastAsia"/>
                <w:highlight w:val="none"/>
              </w:rPr>
            </w:pPr>
            <w:r>
              <w:rPr>
                <w:rFonts w:hint="eastAsia"/>
                <w:highlight w:val="none"/>
              </w:rPr>
              <w:t>允许时间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noWrap w:val="0"/>
            <w:vAlign w:val="top"/>
          </w:tcPr>
          <w:p>
            <w:pPr>
              <w:rPr>
                <w:rFonts w:hint="eastAsia"/>
                <w:highlight w:val="none"/>
              </w:rPr>
            </w:pPr>
          </w:p>
        </w:tc>
        <w:tc>
          <w:tcPr>
            <w:tcW w:w="1185" w:type="dxa"/>
            <w:vMerge w:val="continue"/>
            <w:noWrap w:val="0"/>
            <w:vAlign w:val="top"/>
          </w:tcPr>
          <w:p>
            <w:pPr>
              <w:rPr>
                <w:rFonts w:hint="eastAsia"/>
                <w:highlight w:val="none"/>
              </w:rPr>
            </w:pPr>
          </w:p>
        </w:tc>
        <w:tc>
          <w:tcPr>
            <w:tcW w:w="1185" w:type="dxa"/>
            <w:noWrap w:val="0"/>
            <w:vAlign w:val="top"/>
          </w:tcPr>
          <w:p>
            <w:pPr>
              <w:rPr>
                <w:rFonts w:hint="eastAsia"/>
                <w:highlight w:val="none"/>
              </w:rPr>
            </w:pPr>
            <w:r>
              <w:rPr>
                <w:rFonts w:hint="eastAsia"/>
                <w:highlight w:val="none"/>
              </w:rPr>
              <w:t>5</w:t>
            </w:r>
            <w:r>
              <w:rPr>
                <w:highlight w:val="none"/>
              </w:rPr>
              <w:t>0H</w:t>
            </w:r>
            <w:r>
              <w:rPr>
                <w:rFonts w:hint="eastAsia"/>
                <w:highlight w:val="none"/>
              </w:rPr>
              <w:t>z</w:t>
            </w:r>
          </w:p>
        </w:tc>
        <w:tc>
          <w:tcPr>
            <w:tcW w:w="1185" w:type="dxa"/>
            <w:noWrap w:val="0"/>
            <w:vAlign w:val="top"/>
          </w:tcPr>
          <w:p>
            <w:pPr>
              <w:rPr>
                <w:rFonts w:hint="eastAsia"/>
                <w:highlight w:val="none"/>
              </w:rPr>
            </w:pPr>
            <w:r>
              <w:rPr>
                <w:rFonts w:hint="eastAsia"/>
                <w:highlight w:val="none"/>
              </w:rPr>
              <w:t>1</w:t>
            </w:r>
            <w:r>
              <w:rPr>
                <w:highlight w:val="none"/>
              </w:rPr>
              <w:t>00H</w:t>
            </w:r>
            <w:r>
              <w:rPr>
                <w:rFonts w:hint="eastAsia"/>
                <w:highlight w:val="none"/>
              </w:rPr>
              <w:t>z</w:t>
            </w:r>
          </w:p>
        </w:tc>
        <w:tc>
          <w:tcPr>
            <w:tcW w:w="1185" w:type="dxa"/>
            <w:noWrap w:val="0"/>
            <w:vAlign w:val="top"/>
          </w:tcPr>
          <w:p>
            <w:pPr>
              <w:rPr>
                <w:rFonts w:hint="eastAsia"/>
                <w:highlight w:val="none"/>
              </w:rPr>
            </w:pPr>
            <w:r>
              <w:rPr>
                <w:rFonts w:hint="eastAsia"/>
                <w:highlight w:val="none"/>
              </w:rPr>
              <w:t>1</w:t>
            </w:r>
            <w:r>
              <w:rPr>
                <w:highlight w:val="none"/>
              </w:rPr>
              <w:t>50H</w:t>
            </w:r>
            <w:r>
              <w:rPr>
                <w:rFonts w:hint="eastAsia"/>
                <w:highlight w:val="none"/>
              </w:rPr>
              <w:t>z</w:t>
            </w:r>
          </w:p>
        </w:tc>
        <w:tc>
          <w:tcPr>
            <w:tcW w:w="1185" w:type="dxa"/>
            <w:vMerge w:val="continue"/>
            <w:noWrap w:val="0"/>
            <w:vAlign w:val="top"/>
          </w:tcPr>
          <w:p>
            <w:pPr>
              <w:rPr>
                <w:rFonts w:hint="eastAsia"/>
                <w:highlight w:val="none"/>
              </w:rPr>
            </w:pPr>
          </w:p>
        </w:tc>
        <w:tc>
          <w:tcPr>
            <w:tcW w:w="1186" w:type="dxa"/>
            <w:vMerge w:val="continue"/>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noWrap w:val="0"/>
            <w:vAlign w:val="top"/>
          </w:tcPr>
          <w:p>
            <w:pPr>
              <w:rPr>
                <w:rFonts w:hint="eastAsia"/>
                <w:highlight w:val="none"/>
              </w:rPr>
            </w:pPr>
            <w:r>
              <w:rPr>
                <w:rFonts w:hint="eastAsia"/>
                <w:highlight w:val="none"/>
              </w:rPr>
              <w:t>0</w:t>
            </w:r>
            <w:r>
              <w:rPr>
                <w:highlight w:val="none"/>
              </w:rPr>
              <w:t>-1</w:t>
            </w:r>
          </w:p>
        </w:tc>
        <w:tc>
          <w:tcPr>
            <w:tcW w:w="1185" w:type="dxa"/>
            <w:noWrap w:val="0"/>
            <w:vAlign w:val="top"/>
          </w:tcPr>
          <w:p>
            <w:pPr>
              <w:rPr>
                <w:rFonts w:hint="eastAsia"/>
                <w:highlight w:val="none"/>
              </w:rPr>
            </w:pPr>
            <w:r>
              <w:rPr>
                <w:rFonts w:hint="eastAsia"/>
                <w:highlight w:val="none"/>
              </w:rPr>
              <w:t>3</w:t>
            </w:r>
            <w:r>
              <w:rPr>
                <w:highlight w:val="none"/>
              </w:rPr>
              <w:t>.2</w:t>
            </w:r>
          </w:p>
        </w:tc>
        <w:tc>
          <w:tcPr>
            <w:tcW w:w="1185" w:type="dxa"/>
            <w:noWrap w:val="0"/>
            <w:vAlign w:val="top"/>
          </w:tcPr>
          <w:p>
            <w:pPr>
              <w:rPr>
                <w:rFonts w:hint="eastAsia"/>
                <w:highlight w:val="none"/>
              </w:rPr>
            </w:pPr>
            <w:r>
              <w:rPr>
                <w:rFonts w:hint="eastAsia"/>
                <w:highlight w:val="none"/>
              </w:rPr>
              <w:t>8</w:t>
            </w:r>
            <w:r>
              <w:rPr>
                <w:highlight w:val="none"/>
              </w:rPr>
              <w:t>0V</w:t>
            </w:r>
          </w:p>
        </w:tc>
        <w:tc>
          <w:tcPr>
            <w:tcW w:w="1185" w:type="dxa"/>
            <w:noWrap w:val="0"/>
            <w:vAlign w:val="top"/>
          </w:tcPr>
          <w:p>
            <w:pPr>
              <w:rPr>
                <w:rFonts w:hint="eastAsia"/>
                <w:highlight w:val="none"/>
              </w:rPr>
            </w:pPr>
            <w:r>
              <w:rPr>
                <w:rFonts w:hint="eastAsia"/>
                <w:highlight w:val="none"/>
              </w:rPr>
              <w:t>1</w:t>
            </w:r>
            <w:r>
              <w:rPr>
                <w:highlight w:val="none"/>
              </w:rPr>
              <w:t>60V</w:t>
            </w:r>
          </w:p>
        </w:tc>
        <w:tc>
          <w:tcPr>
            <w:tcW w:w="1185" w:type="dxa"/>
            <w:noWrap w:val="0"/>
            <w:vAlign w:val="top"/>
          </w:tcPr>
          <w:p>
            <w:pPr>
              <w:rPr>
                <w:rFonts w:hint="eastAsia"/>
                <w:highlight w:val="none"/>
              </w:rPr>
            </w:pPr>
            <w:r>
              <w:rPr>
                <w:rFonts w:hint="eastAsia"/>
                <w:highlight w:val="none"/>
              </w:rPr>
              <w:t>2</w:t>
            </w:r>
            <w:r>
              <w:rPr>
                <w:highlight w:val="none"/>
              </w:rPr>
              <w:t>40V</w:t>
            </w:r>
          </w:p>
        </w:tc>
        <w:tc>
          <w:tcPr>
            <w:tcW w:w="1185" w:type="dxa"/>
            <w:noWrap w:val="0"/>
            <w:vAlign w:val="top"/>
          </w:tcPr>
          <w:p>
            <w:pPr>
              <w:rPr>
                <w:rFonts w:hint="eastAsia"/>
                <w:highlight w:val="none"/>
              </w:rPr>
            </w:pPr>
            <w:r>
              <w:rPr>
                <w:rFonts w:hint="eastAsia"/>
                <w:highlight w:val="none"/>
              </w:rPr>
              <w:t>6</w:t>
            </w:r>
            <w:r>
              <w:rPr>
                <w:highlight w:val="none"/>
              </w:rPr>
              <w:t>5A</w:t>
            </w:r>
          </w:p>
        </w:tc>
        <w:tc>
          <w:tcPr>
            <w:tcW w:w="1186" w:type="dxa"/>
            <w:noWrap w:val="0"/>
            <w:vAlign w:val="top"/>
          </w:tcPr>
          <w:p>
            <w:pPr>
              <w:rPr>
                <w:rFonts w:hint="eastAsia"/>
                <w:highlight w:val="none"/>
              </w:rPr>
            </w:pPr>
            <w:r>
              <w:rPr>
                <w:rFonts w:hint="eastAsia"/>
                <w:highlight w:val="none"/>
              </w:rPr>
              <w:t>6</w:t>
            </w:r>
            <w:r>
              <w:rPr>
                <w:highlight w:val="none"/>
              </w:rPr>
              <w:t>0</w:t>
            </w:r>
            <w:r>
              <w:rPr>
                <w:rFonts w:hint="eastAsia"/>
                <w:highlight w:val="none"/>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noWrap w:val="0"/>
            <w:vAlign w:val="top"/>
          </w:tcPr>
          <w:p>
            <w:pPr>
              <w:rPr>
                <w:rFonts w:hint="eastAsia"/>
                <w:highlight w:val="none"/>
              </w:rPr>
            </w:pPr>
            <w:r>
              <w:rPr>
                <w:rFonts w:hint="eastAsia"/>
                <w:highlight w:val="none"/>
              </w:rPr>
              <w:t>0</w:t>
            </w:r>
            <w:r>
              <w:rPr>
                <w:highlight w:val="none"/>
              </w:rPr>
              <w:t>-2</w:t>
            </w:r>
          </w:p>
        </w:tc>
        <w:tc>
          <w:tcPr>
            <w:tcW w:w="1185" w:type="dxa"/>
            <w:noWrap w:val="0"/>
            <w:vAlign w:val="top"/>
          </w:tcPr>
          <w:p>
            <w:pPr>
              <w:rPr>
                <w:rFonts w:hint="eastAsia"/>
                <w:highlight w:val="none"/>
              </w:rPr>
            </w:pPr>
            <w:r>
              <w:rPr>
                <w:rFonts w:hint="eastAsia"/>
                <w:highlight w:val="none"/>
              </w:rPr>
              <w:t>4</w:t>
            </w:r>
            <w:r>
              <w:rPr>
                <w:highlight w:val="none"/>
              </w:rPr>
              <w:t>.8</w:t>
            </w:r>
          </w:p>
        </w:tc>
        <w:tc>
          <w:tcPr>
            <w:tcW w:w="1185" w:type="dxa"/>
            <w:noWrap w:val="0"/>
            <w:vAlign w:val="top"/>
          </w:tcPr>
          <w:p>
            <w:pPr>
              <w:rPr>
                <w:rFonts w:hint="eastAsia"/>
                <w:highlight w:val="none"/>
              </w:rPr>
            </w:pPr>
            <w:r>
              <w:rPr>
                <w:rFonts w:hint="eastAsia"/>
                <w:highlight w:val="none"/>
              </w:rPr>
              <w:t>9</w:t>
            </w:r>
            <w:r>
              <w:rPr>
                <w:highlight w:val="none"/>
              </w:rPr>
              <w:t>8V</w:t>
            </w:r>
          </w:p>
        </w:tc>
        <w:tc>
          <w:tcPr>
            <w:tcW w:w="1185" w:type="dxa"/>
            <w:noWrap w:val="0"/>
            <w:vAlign w:val="top"/>
          </w:tcPr>
          <w:p>
            <w:pPr>
              <w:rPr>
                <w:rFonts w:hint="eastAsia"/>
                <w:highlight w:val="none"/>
              </w:rPr>
            </w:pPr>
            <w:r>
              <w:rPr>
                <w:rFonts w:hint="eastAsia"/>
                <w:highlight w:val="none"/>
              </w:rPr>
              <w:t>1</w:t>
            </w:r>
            <w:r>
              <w:rPr>
                <w:highlight w:val="none"/>
              </w:rPr>
              <w:t>96V</w:t>
            </w:r>
          </w:p>
        </w:tc>
        <w:tc>
          <w:tcPr>
            <w:tcW w:w="1185" w:type="dxa"/>
            <w:noWrap w:val="0"/>
            <w:vAlign w:val="top"/>
          </w:tcPr>
          <w:p>
            <w:pPr>
              <w:rPr>
                <w:rFonts w:hint="eastAsia"/>
                <w:highlight w:val="none"/>
              </w:rPr>
            </w:pPr>
            <w:r>
              <w:rPr>
                <w:rFonts w:hint="eastAsia"/>
                <w:highlight w:val="none"/>
              </w:rPr>
              <w:t>2</w:t>
            </w:r>
            <w:r>
              <w:rPr>
                <w:highlight w:val="none"/>
              </w:rPr>
              <w:t>94V</w:t>
            </w:r>
          </w:p>
        </w:tc>
        <w:tc>
          <w:tcPr>
            <w:tcW w:w="1185" w:type="dxa"/>
            <w:noWrap w:val="0"/>
            <w:vAlign w:val="top"/>
          </w:tcPr>
          <w:p>
            <w:pPr>
              <w:rPr>
                <w:rFonts w:hint="eastAsia"/>
                <w:highlight w:val="none"/>
              </w:rPr>
            </w:pPr>
            <w:r>
              <w:rPr>
                <w:rFonts w:hint="eastAsia"/>
                <w:highlight w:val="none"/>
              </w:rPr>
              <w:t>6</w:t>
            </w:r>
            <w:r>
              <w:rPr>
                <w:highlight w:val="none"/>
              </w:rPr>
              <w:t>5A</w:t>
            </w:r>
          </w:p>
        </w:tc>
        <w:tc>
          <w:tcPr>
            <w:tcW w:w="1186" w:type="dxa"/>
            <w:noWrap w:val="0"/>
            <w:vAlign w:val="top"/>
          </w:tcPr>
          <w:p>
            <w:pPr>
              <w:rPr>
                <w:rFonts w:hint="eastAsia"/>
                <w:highlight w:val="none"/>
              </w:rPr>
            </w:pPr>
            <w:r>
              <w:rPr>
                <w:rFonts w:hint="eastAsia"/>
                <w:highlight w:val="none"/>
              </w:rPr>
              <w:t>6</w:t>
            </w:r>
            <w:r>
              <w:rPr>
                <w:highlight w:val="none"/>
              </w:rPr>
              <w:t>0</w:t>
            </w:r>
            <w:r>
              <w:rPr>
                <w:rFonts w:hint="eastAsia"/>
                <w:highlight w:val="none"/>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noWrap w:val="0"/>
            <w:vAlign w:val="top"/>
          </w:tcPr>
          <w:p>
            <w:pPr>
              <w:rPr>
                <w:rFonts w:hint="eastAsia"/>
                <w:highlight w:val="none"/>
              </w:rPr>
            </w:pPr>
            <w:r>
              <w:rPr>
                <w:rFonts w:hint="eastAsia"/>
                <w:highlight w:val="none"/>
              </w:rPr>
              <w:t>0</w:t>
            </w:r>
            <w:r>
              <w:rPr>
                <w:highlight w:val="none"/>
              </w:rPr>
              <w:t>-3</w:t>
            </w:r>
          </w:p>
        </w:tc>
        <w:tc>
          <w:tcPr>
            <w:tcW w:w="1185" w:type="dxa"/>
            <w:noWrap w:val="0"/>
            <w:vAlign w:val="top"/>
          </w:tcPr>
          <w:p>
            <w:pPr>
              <w:rPr>
                <w:rFonts w:hint="eastAsia"/>
                <w:highlight w:val="none"/>
              </w:rPr>
            </w:pPr>
            <w:r>
              <w:rPr>
                <w:rFonts w:hint="eastAsia"/>
                <w:highlight w:val="none"/>
              </w:rPr>
              <w:t>6</w:t>
            </w:r>
            <w:r>
              <w:rPr>
                <w:highlight w:val="none"/>
              </w:rPr>
              <w:t>.4</w:t>
            </w:r>
          </w:p>
        </w:tc>
        <w:tc>
          <w:tcPr>
            <w:tcW w:w="1185" w:type="dxa"/>
            <w:noWrap w:val="0"/>
            <w:vAlign w:val="top"/>
          </w:tcPr>
          <w:p>
            <w:pPr>
              <w:rPr>
                <w:rFonts w:hint="eastAsia"/>
                <w:highlight w:val="none"/>
              </w:rPr>
            </w:pPr>
            <w:r>
              <w:rPr>
                <w:rFonts w:hint="eastAsia"/>
                <w:highlight w:val="none"/>
              </w:rPr>
              <w:t>1</w:t>
            </w:r>
            <w:r>
              <w:rPr>
                <w:highlight w:val="none"/>
              </w:rPr>
              <w:t>14V</w:t>
            </w:r>
          </w:p>
        </w:tc>
        <w:tc>
          <w:tcPr>
            <w:tcW w:w="1185" w:type="dxa"/>
            <w:noWrap w:val="0"/>
            <w:vAlign w:val="top"/>
          </w:tcPr>
          <w:p>
            <w:pPr>
              <w:rPr>
                <w:rFonts w:hint="eastAsia"/>
                <w:highlight w:val="none"/>
              </w:rPr>
            </w:pPr>
            <w:r>
              <w:rPr>
                <w:rFonts w:hint="eastAsia"/>
                <w:highlight w:val="none"/>
              </w:rPr>
              <w:t>2</w:t>
            </w:r>
            <w:r>
              <w:rPr>
                <w:highlight w:val="none"/>
              </w:rPr>
              <w:t>28V</w:t>
            </w:r>
          </w:p>
        </w:tc>
        <w:tc>
          <w:tcPr>
            <w:tcW w:w="1185" w:type="dxa"/>
            <w:noWrap w:val="0"/>
            <w:vAlign w:val="top"/>
          </w:tcPr>
          <w:p>
            <w:pPr>
              <w:rPr>
                <w:rFonts w:hint="eastAsia"/>
                <w:highlight w:val="none"/>
              </w:rPr>
            </w:pPr>
            <w:r>
              <w:rPr>
                <w:rFonts w:hint="eastAsia"/>
                <w:highlight w:val="none"/>
              </w:rPr>
              <w:t>3</w:t>
            </w:r>
            <w:r>
              <w:rPr>
                <w:highlight w:val="none"/>
              </w:rPr>
              <w:t>42V</w:t>
            </w:r>
          </w:p>
        </w:tc>
        <w:tc>
          <w:tcPr>
            <w:tcW w:w="1185" w:type="dxa"/>
            <w:noWrap w:val="0"/>
            <w:vAlign w:val="top"/>
          </w:tcPr>
          <w:p>
            <w:pPr>
              <w:rPr>
                <w:rFonts w:hint="eastAsia"/>
                <w:highlight w:val="none"/>
              </w:rPr>
            </w:pPr>
            <w:r>
              <w:rPr>
                <w:rFonts w:hint="eastAsia"/>
                <w:highlight w:val="none"/>
              </w:rPr>
              <w:t>5</w:t>
            </w:r>
            <w:r>
              <w:rPr>
                <w:highlight w:val="none"/>
              </w:rPr>
              <w:t>7A</w:t>
            </w:r>
          </w:p>
        </w:tc>
        <w:tc>
          <w:tcPr>
            <w:tcW w:w="1186" w:type="dxa"/>
            <w:noWrap w:val="0"/>
            <w:vAlign w:val="top"/>
          </w:tcPr>
          <w:p>
            <w:pPr>
              <w:rPr>
                <w:rFonts w:hint="eastAsia"/>
                <w:highlight w:val="none"/>
              </w:rPr>
            </w:pPr>
            <w:r>
              <w:rPr>
                <w:rFonts w:hint="eastAsia"/>
                <w:highlight w:val="none"/>
              </w:rPr>
              <w:t>6</w:t>
            </w:r>
            <w:r>
              <w:rPr>
                <w:highlight w:val="none"/>
              </w:rPr>
              <w:t>0</w:t>
            </w:r>
            <w:r>
              <w:rPr>
                <w:rFonts w:hint="eastAsia"/>
                <w:highlight w:val="none"/>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noWrap w:val="0"/>
            <w:vAlign w:val="top"/>
          </w:tcPr>
          <w:p>
            <w:pPr>
              <w:rPr>
                <w:rFonts w:hint="eastAsia"/>
                <w:highlight w:val="none"/>
              </w:rPr>
            </w:pPr>
            <w:r>
              <w:rPr>
                <w:rFonts w:hint="eastAsia"/>
                <w:highlight w:val="none"/>
              </w:rPr>
              <w:t>0</w:t>
            </w:r>
            <w:r>
              <w:rPr>
                <w:highlight w:val="none"/>
              </w:rPr>
              <w:t>-4</w:t>
            </w:r>
          </w:p>
        </w:tc>
        <w:tc>
          <w:tcPr>
            <w:tcW w:w="1185" w:type="dxa"/>
            <w:noWrap w:val="0"/>
            <w:vAlign w:val="top"/>
          </w:tcPr>
          <w:p>
            <w:pPr>
              <w:rPr>
                <w:rFonts w:hint="eastAsia"/>
                <w:highlight w:val="none"/>
              </w:rPr>
            </w:pPr>
            <w:r>
              <w:rPr>
                <w:rFonts w:hint="eastAsia"/>
                <w:highlight w:val="none"/>
              </w:rPr>
              <w:t>8</w:t>
            </w:r>
          </w:p>
        </w:tc>
        <w:tc>
          <w:tcPr>
            <w:tcW w:w="1185" w:type="dxa"/>
            <w:noWrap w:val="0"/>
            <w:vAlign w:val="top"/>
          </w:tcPr>
          <w:p>
            <w:pPr>
              <w:rPr>
                <w:rFonts w:hint="eastAsia"/>
                <w:highlight w:val="none"/>
              </w:rPr>
            </w:pPr>
            <w:r>
              <w:rPr>
                <w:rFonts w:hint="eastAsia"/>
                <w:highlight w:val="none"/>
              </w:rPr>
              <w:t>1</w:t>
            </w:r>
            <w:r>
              <w:rPr>
                <w:highlight w:val="none"/>
              </w:rPr>
              <w:t>27V</w:t>
            </w:r>
          </w:p>
        </w:tc>
        <w:tc>
          <w:tcPr>
            <w:tcW w:w="1185" w:type="dxa"/>
            <w:noWrap w:val="0"/>
            <w:vAlign w:val="top"/>
          </w:tcPr>
          <w:p>
            <w:pPr>
              <w:rPr>
                <w:rFonts w:hint="eastAsia"/>
                <w:highlight w:val="none"/>
              </w:rPr>
            </w:pPr>
            <w:r>
              <w:rPr>
                <w:rFonts w:hint="eastAsia"/>
                <w:highlight w:val="none"/>
              </w:rPr>
              <w:t>2</w:t>
            </w:r>
            <w:r>
              <w:rPr>
                <w:highlight w:val="none"/>
              </w:rPr>
              <w:t>54V</w:t>
            </w:r>
          </w:p>
        </w:tc>
        <w:tc>
          <w:tcPr>
            <w:tcW w:w="1185" w:type="dxa"/>
            <w:noWrap w:val="0"/>
            <w:vAlign w:val="top"/>
          </w:tcPr>
          <w:p>
            <w:pPr>
              <w:rPr>
                <w:rFonts w:hint="eastAsia"/>
                <w:highlight w:val="none"/>
              </w:rPr>
            </w:pPr>
            <w:r>
              <w:rPr>
                <w:rFonts w:hint="eastAsia"/>
                <w:highlight w:val="none"/>
              </w:rPr>
              <w:t>3</w:t>
            </w:r>
            <w:r>
              <w:rPr>
                <w:highlight w:val="none"/>
              </w:rPr>
              <w:t>81V</w:t>
            </w:r>
          </w:p>
        </w:tc>
        <w:tc>
          <w:tcPr>
            <w:tcW w:w="1185" w:type="dxa"/>
            <w:noWrap w:val="0"/>
            <w:vAlign w:val="top"/>
          </w:tcPr>
          <w:p>
            <w:pPr>
              <w:rPr>
                <w:rFonts w:hint="eastAsia"/>
                <w:highlight w:val="none"/>
              </w:rPr>
            </w:pPr>
            <w:r>
              <w:rPr>
                <w:rFonts w:hint="eastAsia"/>
                <w:highlight w:val="none"/>
              </w:rPr>
              <w:t>5</w:t>
            </w:r>
            <w:r>
              <w:rPr>
                <w:highlight w:val="none"/>
              </w:rPr>
              <w:t>1A</w:t>
            </w:r>
          </w:p>
        </w:tc>
        <w:tc>
          <w:tcPr>
            <w:tcW w:w="1186" w:type="dxa"/>
            <w:noWrap w:val="0"/>
            <w:vAlign w:val="top"/>
          </w:tcPr>
          <w:p>
            <w:pPr>
              <w:rPr>
                <w:rFonts w:hint="eastAsia"/>
                <w:highlight w:val="none"/>
              </w:rPr>
            </w:pPr>
            <w:r>
              <w:rPr>
                <w:rFonts w:hint="eastAsia"/>
                <w:highlight w:val="none"/>
              </w:rPr>
              <w:t>6</w:t>
            </w:r>
            <w:r>
              <w:rPr>
                <w:highlight w:val="none"/>
              </w:rPr>
              <w:t>0</w:t>
            </w:r>
            <w:r>
              <w:rPr>
                <w:rFonts w:hint="eastAsia"/>
                <w:highlight w:val="none"/>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noWrap w:val="0"/>
            <w:vAlign w:val="top"/>
          </w:tcPr>
          <w:p>
            <w:pPr>
              <w:rPr>
                <w:rFonts w:hint="eastAsia"/>
                <w:highlight w:val="none"/>
              </w:rPr>
            </w:pPr>
            <w:r>
              <w:rPr>
                <w:rFonts w:hint="eastAsia"/>
                <w:highlight w:val="none"/>
              </w:rPr>
              <w:t>0</w:t>
            </w:r>
            <w:r>
              <w:rPr>
                <w:highlight w:val="none"/>
              </w:rPr>
              <w:t>-5</w:t>
            </w:r>
          </w:p>
        </w:tc>
        <w:tc>
          <w:tcPr>
            <w:tcW w:w="1185" w:type="dxa"/>
            <w:noWrap w:val="0"/>
            <w:vAlign w:val="top"/>
          </w:tcPr>
          <w:p>
            <w:pPr>
              <w:rPr>
                <w:rFonts w:hint="eastAsia"/>
                <w:highlight w:val="none"/>
              </w:rPr>
            </w:pPr>
            <w:r>
              <w:rPr>
                <w:rFonts w:hint="eastAsia"/>
                <w:highlight w:val="none"/>
              </w:rPr>
              <w:t>1</w:t>
            </w:r>
            <w:r>
              <w:rPr>
                <w:highlight w:val="none"/>
              </w:rPr>
              <w:t>0</w:t>
            </w:r>
          </w:p>
        </w:tc>
        <w:tc>
          <w:tcPr>
            <w:tcW w:w="1185" w:type="dxa"/>
            <w:noWrap w:val="0"/>
            <w:vAlign w:val="top"/>
          </w:tcPr>
          <w:p>
            <w:pPr>
              <w:rPr>
                <w:rFonts w:hint="eastAsia"/>
                <w:highlight w:val="none"/>
              </w:rPr>
            </w:pPr>
            <w:r>
              <w:rPr>
                <w:rFonts w:hint="eastAsia"/>
                <w:highlight w:val="none"/>
              </w:rPr>
              <w:t>1</w:t>
            </w:r>
            <w:r>
              <w:rPr>
                <w:highlight w:val="none"/>
              </w:rPr>
              <w:t>40V</w:t>
            </w:r>
          </w:p>
        </w:tc>
        <w:tc>
          <w:tcPr>
            <w:tcW w:w="1185" w:type="dxa"/>
            <w:noWrap w:val="0"/>
            <w:vAlign w:val="top"/>
          </w:tcPr>
          <w:p>
            <w:pPr>
              <w:rPr>
                <w:rFonts w:hint="eastAsia"/>
                <w:highlight w:val="none"/>
              </w:rPr>
            </w:pPr>
            <w:r>
              <w:rPr>
                <w:rFonts w:hint="eastAsia"/>
                <w:highlight w:val="none"/>
              </w:rPr>
              <w:t>2</w:t>
            </w:r>
            <w:r>
              <w:rPr>
                <w:highlight w:val="none"/>
              </w:rPr>
              <w:t>80V</w:t>
            </w:r>
          </w:p>
        </w:tc>
        <w:tc>
          <w:tcPr>
            <w:tcW w:w="1185" w:type="dxa"/>
            <w:noWrap w:val="0"/>
            <w:vAlign w:val="top"/>
          </w:tcPr>
          <w:p>
            <w:pPr>
              <w:rPr>
                <w:rFonts w:hint="eastAsia"/>
                <w:highlight w:val="none"/>
              </w:rPr>
            </w:pPr>
            <w:r>
              <w:rPr>
                <w:rFonts w:hint="eastAsia"/>
                <w:highlight w:val="none"/>
              </w:rPr>
              <w:t>4</w:t>
            </w:r>
            <w:r>
              <w:rPr>
                <w:highlight w:val="none"/>
              </w:rPr>
              <w:t>20V</w:t>
            </w:r>
          </w:p>
        </w:tc>
        <w:tc>
          <w:tcPr>
            <w:tcW w:w="1185" w:type="dxa"/>
            <w:noWrap w:val="0"/>
            <w:vAlign w:val="top"/>
          </w:tcPr>
          <w:p>
            <w:pPr>
              <w:rPr>
                <w:rFonts w:hint="eastAsia"/>
                <w:highlight w:val="none"/>
              </w:rPr>
            </w:pPr>
            <w:r>
              <w:rPr>
                <w:rFonts w:hint="eastAsia"/>
                <w:highlight w:val="none"/>
              </w:rPr>
              <w:t>4</w:t>
            </w:r>
            <w:r>
              <w:rPr>
                <w:highlight w:val="none"/>
              </w:rPr>
              <w:t>8A</w:t>
            </w:r>
          </w:p>
        </w:tc>
        <w:tc>
          <w:tcPr>
            <w:tcW w:w="1186" w:type="dxa"/>
            <w:noWrap w:val="0"/>
            <w:vAlign w:val="top"/>
          </w:tcPr>
          <w:p>
            <w:pPr>
              <w:rPr>
                <w:rFonts w:hint="eastAsia"/>
                <w:highlight w:val="none"/>
              </w:rPr>
            </w:pPr>
            <w:r>
              <w:rPr>
                <w:rFonts w:hint="eastAsia"/>
                <w:highlight w:val="none"/>
              </w:rPr>
              <w:t>6</w:t>
            </w:r>
            <w:r>
              <w:rPr>
                <w:highlight w:val="none"/>
              </w:rPr>
              <w:t>0</w:t>
            </w:r>
            <w:r>
              <w:rPr>
                <w:rFonts w:hint="eastAsia"/>
                <w:highlight w:val="none"/>
              </w:rPr>
              <w:t>秒</w:t>
            </w:r>
          </w:p>
        </w:tc>
      </w:tr>
    </w:tbl>
    <w:p>
      <w:pPr>
        <w:pStyle w:val="2"/>
        <w:bidi w:val="0"/>
        <w:rPr>
          <w:rFonts w:cs="宋体"/>
          <w:spacing w:val="1"/>
          <w:highlight w:val="none"/>
        </w:rPr>
      </w:pPr>
      <w:r>
        <w:rPr>
          <w:rFonts w:hint="eastAsia"/>
          <w:highlight w:val="none"/>
          <w:lang w:val="en-US" w:eastAsia="zh-CN"/>
        </w:rPr>
        <w:t>5</w:t>
      </w:r>
      <w:r>
        <w:rPr>
          <w:highlight w:val="none"/>
        </w:rPr>
        <w:t>.</w:t>
      </w:r>
      <w:r>
        <w:rPr>
          <w:rFonts w:cs="宋体"/>
          <w:spacing w:val="1"/>
          <w:highlight w:val="none"/>
        </w:rPr>
        <w:t>质量保证和试验</w:t>
      </w:r>
      <w:bookmarkEnd w:id="33"/>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4" w:name="_Toc18433"/>
      <w:r>
        <w:rPr>
          <w:rFonts w:hint="eastAsia"/>
          <w:highlight w:val="none"/>
          <w:lang w:eastAsia="zh-CN"/>
        </w:rPr>
        <w:t>6.</w:t>
      </w:r>
      <w:r>
        <w:rPr>
          <w:rFonts w:cs="宋体"/>
          <w:spacing w:val="1"/>
          <w:highlight w:val="none"/>
        </w:rPr>
        <w:t>包装、运输和储存</w:t>
      </w:r>
      <w:bookmarkEnd w:id="34"/>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5"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5"/>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numPr>
          <w:ilvl w:val="0"/>
          <w:numId w:val="1"/>
        </w:numPr>
        <w:bidi w:val="0"/>
        <w:rPr>
          <w:rFonts w:hint="eastAsia"/>
          <w:highlight w:val="none"/>
        </w:rPr>
      </w:pPr>
      <w:bookmarkStart w:id="36" w:name="_Toc25792"/>
      <w:r>
        <w:rPr>
          <w:rFonts w:hint="eastAsia"/>
          <w:highlight w:val="none"/>
        </w:rPr>
        <w:t>供货范围清单</w:t>
      </w:r>
      <w:bookmarkEnd w:id="36"/>
    </w:p>
    <w:tbl>
      <w:tblPr>
        <w:tblStyle w:val="13"/>
        <w:tblW w:w="460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205"/>
        <w:gridCol w:w="2889"/>
        <w:gridCol w:w="1630"/>
        <w:gridCol w:w="933"/>
        <w:gridCol w:w="933"/>
        <w:gridCol w:w="15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jc w:val="center"/>
        </w:trPr>
        <w:tc>
          <w:tcPr>
            <w:tcW w:w="656" w:type="pct"/>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序号</w:t>
            </w:r>
          </w:p>
        </w:tc>
        <w:tc>
          <w:tcPr>
            <w:tcW w:w="1573" w:type="pct"/>
            <w:vMerge w:val="restart"/>
            <w:tcBorders>
              <w:top w:val="single" w:color="auto" w:sz="4" w:space="0"/>
              <w:left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物资名称</w:t>
            </w:r>
          </w:p>
        </w:tc>
        <w:tc>
          <w:tcPr>
            <w:tcW w:w="2769"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配置要求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17" w:hRule="atLeast"/>
          <w:tblHeader/>
          <w:jc w:val="center"/>
        </w:trPr>
        <w:tc>
          <w:tcPr>
            <w:tcW w:w="656" w:type="pct"/>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p>
        </w:tc>
        <w:tc>
          <w:tcPr>
            <w:tcW w:w="1573" w:type="pct"/>
            <w:vMerge w:val="continue"/>
            <w:tcBorders>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p>
        </w:tc>
        <w:tc>
          <w:tcPr>
            <w:tcW w:w="887"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both"/>
              <w:rPr>
                <w:highlight w:val="none"/>
              </w:rPr>
            </w:pPr>
            <w:r>
              <w:rPr>
                <w:rFonts w:hint="eastAsia"/>
                <w:highlight w:val="none"/>
              </w:rPr>
              <w:t>规格型号</w:t>
            </w: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单位</w:t>
            </w: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数量</w:t>
            </w:r>
          </w:p>
        </w:tc>
        <w:tc>
          <w:tcPr>
            <w:tcW w:w="86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center"/>
              <w:rPr>
                <w:highlight w:val="none"/>
              </w:rPr>
            </w:pPr>
            <w:r>
              <w:rPr>
                <w:rFonts w:hint="eastAsia"/>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65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1</w:t>
            </w:r>
          </w:p>
        </w:tc>
        <w:tc>
          <w:tcPr>
            <w:tcW w:w="157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leftChars="171"/>
              <w:jc w:val="both"/>
              <w:rPr>
                <w:rFonts w:hint="eastAsia" w:eastAsia="宋体"/>
                <w:highlight w:val="none"/>
                <w:lang w:val="en-US" w:eastAsia="zh-CN"/>
              </w:rPr>
            </w:pPr>
            <w:r>
              <w:rPr>
                <w:rFonts w:hint="eastAsia"/>
                <w:highlight w:val="none"/>
                <w:lang w:val="en-US" w:eastAsia="zh-CN"/>
              </w:rPr>
              <w:t>主机</w:t>
            </w:r>
          </w:p>
        </w:tc>
        <w:tc>
          <w:tcPr>
            <w:tcW w:w="887"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both"/>
              <w:rPr>
                <w:highlight w:val="none"/>
              </w:rPr>
            </w:pP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台</w:t>
            </w: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1</w:t>
            </w:r>
          </w:p>
        </w:tc>
        <w:tc>
          <w:tcPr>
            <w:tcW w:w="86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65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rFonts w:hint="eastAsia" w:eastAsia="宋体"/>
                <w:highlight w:val="none"/>
                <w:lang w:val="en-US" w:eastAsia="zh-CN"/>
              </w:rPr>
            </w:pPr>
            <w:r>
              <w:rPr>
                <w:rFonts w:hint="eastAsia"/>
                <w:highlight w:val="none"/>
                <w:lang w:val="en-US" w:eastAsia="zh-CN"/>
              </w:rPr>
              <w:t>2</w:t>
            </w:r>
          </w:p>
        </w:tc>
        <w:tc>
          <w:tcPr>
            <w:tcW w:w="157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leftChars="171"/>
              <w:jc w:val="both"/>
              <w:rPr>
                <w:rFonts w:hint="default"/>
                <w:highlight w:val="none"/>
                <w:lang w:val="en-US" w:eastAsia="zh-CN"/>
              </w:rPr>
            </w:pPr>
            <w:r>
              <w:rPr>
                <w:rFonts w:hint="eastAsia"/>
                <w:highlight w:val="none"/>
                <w:lang w:val="en-US" w:eastAsia="zh-CN"/>
              </w:rPr>
              <w:t>电感</w:t>
            </w:r>
          </w:p>
        </w:tc>
        <w:tc>
          <w:tcPr>
            <w:tcW w:w="887"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both"/>
              <w:rPr>
                <w:highlight w:val="none"/>
              </w:rPr>
            </w:pP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rFonts w:hint="eastAsia" w:eastAsia="宋体"/>
                <w:highlight w:val="none"/>
                <w:lang w:val="en-US" w:eastAsia="zh-CN"/>
              </w:rPr>
            </w:pPr>
            <w:r>
              <w:rPr>
                <w:rFonts w:hint="eastAsia"/>
                <w:highlight w:val="none"/>
                <w:lang w:val="en-US" w:eastAsia="zh-CN"/>
              </w:rPr>
              <w:t>个</w:t>
            </w: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rFonts w:hint="eastAsia" w:eastAsia="宋体"/>
                <w:highlight w:val="none"/>
                <w:lang w:val="en-US" w:eastAsia="zh-CN"/>
              </w:rPr>
            </w:pPr>
            <w:r>
              <w:rPr>
                <w:rFonts w:hint="eastAsia"/>
                <w:highlight w:val="none"/>
                <w:lang w:val="en-US" w:eastAsia="zh-CN"/>
              </w:rPr>
              <w:t>5</w:t>
            </w:r>
          </w:p>
        </w:tc>
        <w:tc>
          <w:tcPr>
            <w:tcW w:w="86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jc w:val="center"/>
        </w:trPr>
        <w:tc>
          <w:tcPr>
            <w:tcW w:w="65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rFonts w:hint="eastAsia" w:eastAsia="宋体"/>
                <w:highlight w:val="none"/>
                <w:lang w:eastAsia="zh-CN"/>
              </w:rPr>
            </w:pPr>
            <w:r>
              <w:rPr>
                <w:rFonts w:hint="eastAsia"/>
                <w:highlight w:val="none"/>
                <w:lang w:val="en-US" w:eastAsia="zh-CN"/>
              </w:rPr>
              <w:t>3</w:t>
            </w:r>
          </w:p>
        </w:tc>
        <w:tc>
          <w:tcPr>
            <w:tcW w:w="157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rFonts w:hint="eastAsia" w:eastAsia="宋体"/>
                <w:highlight w:val="none"/>
                <w:lang w:val="en-US" w:eastAsia="zh-CN"/>
              </w:rPr>
            </w:pPr>
            <w:r>
              <w:rPr>
                <w:rFonts w:hint="eastAsia"/>
                <w:highlight w:val="none"/>
                <w:lang w:val="en-US" w:eastAsia="zh-CN"/>
              </w:rPr>
              <w:t>测试线</w:t>
            </w:r>
          </w:p>
        </w:tc>
        <w:tc>
          <w:tcPr>
            <w:tcW w:w="887"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center"/>
              <w:rPr>
                <w:highlight w:val="none"/>
              </w:rPr>
            </w:pP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套</w:t>
            </w: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1</w:t>
            </w:r>
          </w:p>
        </w:tc>
        <w:tc>
          <w:tcPr>
            <w:tcW w:w="86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blHeader/>
          <w:jc w:val="center"/>
        </w:trPr>
        <w:tc>
          <w:tcPr>
            <w:tcW w:w="65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rFonts w:hint="eastAsia" w:eastAsia="宋体"/>
                <w:highlight w:val="none"/>
                <w:lang w:eastAsia="zh-CN"/>
              </w:rPr>
            </w:pPr>
            <w:r>
              <w:rPr>
                <w:rFonts w:hint="eastAsia"/>
                <w:highlight w:val="none"/>
                <w:lang w:val="en-US" w:eastAsia="zh-CN"/>
              </w:rPr>
              <w:t>4</w:t>
            </w:r>
          </w:p>
        </w:tc>
        <w:tc>
          <w:tcPr>
            <w:tcW w:w="157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leftChars="171"/>
              <w:jc w:val="both"/>
              <w:rPr>
                <w:highlight w:val="none"/>
              </w:rPr>
            </w:pPr>
            <w:r>
              <w:rPr>
                <w:rFonts w:hint="eastAsia"/>
                <w:highlight w:val="none"/>
              </w:rPr>
              <w:t>说明书</w:t>
            </w:r>
          </w:p>
        </w:tc>
        <w:tc>
          <w:tcPr>
            <w:tcW w:w="887"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leftChars="171"/>
              <w:jc w:val="center"/>
              <w:rPr>
                <w:highlight w:val="none"/>
              </w:rPr>
            </w:pP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firstLine="0" w:firstLineChars="0"/>
              <w:jc w:val="center"/>
              <w:rPr>
                <w:highlight w:val="none"/>
              </w:rPr>
            </w:pPr>
            <w:r>
              <w:rPr>
                <w:rFonts w:hint="eastAsia"/>
                <w:highlight w:val="none"/>
              </w:rPr>
              <w:t>份</w:t>
            </w:r>
          </w:p>
        </w:tc>
        <w:tc>
          <w:tcPr>
            <w:tcW w:w="508"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firstLine="0" w:firstLineChars="0"/>
              <w:jc w:val="center"/>
              <w:rPr>
                <w:highlight w:val="none"/>
              </w:rPr>
            </w:pPr>
            <w:r>
              <w:rPr>
                <w:rFonts w:hint="eastAsia"/>
                <w:highlight w:val="none"/>
              </w:rPr>
              <w:t>1</w:t>
            </w:r>
          </w:p>
        </w:tc>
        <w:tc>
          <w:tcPr>
            <w:tcW w:w="86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p>
        </w:tc>
      </w:tr>
    </w:tbl>
    <w:p>
      <w:pPr>
        <w:numPr>
          <w:ilvl w:val="0"/>
          <w:numId w:val="0"/>
        </w:numPr>
        <w:rPr>
          <w:highlight w:val="none"/>
        </w:rPr>
      </w:pPr>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7"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7"/>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8" w:name="_Toc21346"/>
      <w:r>
        <w:rPr>
          <w:rFonts w:hint="eastAsia"/>
          <w:highlight w:val="none"/>
          <w:lang w:eastAsia="zh-CN"/>
        </w:rPr>
        <w:t>9.</w:t>
      </w:r>
      <w:r>
        <w:rPr>
          <w:rFonts w:cs="宋体"/>
          <w:spacing w:val="1"/>
          <w:highlight w:val="none"/>
        </w:rPr>
        <w:t>设备的售后服务要求</w:t>
      </w:r>
      <w:bookmarkEnd w:id="38"/>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9" w:name="_Toc10126"/>
      <w:r>
        <w:rPr>
          <w:rFonts w:hint="eastAsia"/>
          <w:spacing w:val="-6"/>
          <w:highlight w:val="none"/>
          <w:lang w:eastAsia="zh-CN"/>
        </w:rPr>
        <w:t>10.</w:t>
      </w:r>
      <w:r>
        <w:rPr>
          <w:rFonts w:cs="宋体"/>
          <w:highlight w:val="none"/>
        </w:rPr>
        <w:t>验收</w:t>
      </w:r>
      <w:bookmarkEnd w:id="39"/>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40"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0"/>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6651D6"/>
    <w:multiLevelType w:val="singleLevel"/>
    <w:tmpl w:val="AC6651D6"/>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7442FA"/>
    <w:rsid w:val="01FB11A1"/>
    <w:rsid w:val="024E43D4"/>
    <w:rsid w:val="04AC73D9"/>
    <w:rsid w:val="052208DA"/>
    <w:rsid w:val="07B66435"/>
    <w:rsid w:val="07E06245"/>
    <w:rsid w:val="0BAB653E"/>
    <w:rsid w:val="0D344206"/>
    <w:rsid w:val="0E603C3C"/>
    <w:rsid w:val="11624E20"/>
    <w:rsid w:val="13066AFF"/>
    <w:rsid w:val="1598315B"/>
    <w:rsid w:val="16406CB6"/>
    <w:rsid w:val="17486E4C"/>
    <w:rsid w:val="19277699"/>
    <w:rsid w:val="1C79220A"/>
    <w:rsid w:val="1C8772B6"/>
    <w:rsid w:val="1D3614FA"/>
    <w:rsid w:val="1E7740FA"/>
    <w:rsid w:val="1FA263E4"/>
    <w:rsid w:val="22703D10"/>
    <w:rsid w:val="23B96AFD"/>
    <w:rsid w:val="273F6164"/>
    <w:rsid w:val="27E502D5"/>
    <w:rsid w:val="29464C18"/>
    <w:rsid w:val="2B2A0492"/>
    <w:rsid w:val="2C3F36A7"/>
    <w:rsid w:val="2E3B533C"/>
    <w:rsid w:val="2EAE6CA3"/>
    <w:rsid w:val="30427C69"/>
    <w:rsid w:val="33342978"/>
    <w:rsid w:val="33C00172"/>
    <w:rsid w:val="34234DD5"/>
    <w:rsid w:val="34DB0F5E"/>
    <w:rsid w:val="366559E4"/>
    <w:rsid w:val="367B35A2"/>
    <w:rsid w:val="3988303A"/>
    <w:rsid w:val="3F3F3186"/>
    <w:rsid w:val="402A6B36"/>
    <w:rsid w:val="41713020"/>
    <w:rsid w:val="41F6735B"/>
    <w:rsid w:val="47874069"/>
    <w:rsid w:val="47B84838"/>
    <w:rsid w:val="48CC7BFD"/>
    <w:rsid w:val="49244D8F"/>
    <w:rsid w:val="58B95CBA"/>
    <w:rsid w:val="596D67DA"/>
    <w:rsid w:val="5A44578C"/>
    <w:rsid w:val="5ABC3575"/>
    <w:rsid w:val="5E375A3D"/>
    <w:rsid w:val="5E60690D"/>
    <w:rsid w:val="5EC33DB0"/>
    <w:rsid w:val="5F471779"/>
    <w:rsid w:val="60EC26DA"/>
    <w:rsid w:val="6268037D"/>
    <w:rsid w:val="62740596"/>
    <w:rsid w:val="62CD7EA4"/>
    <w:rsid w:val="65974683"/>
    <w:rsid w:val="6EAB393B"/>
    <w:rsid w:val="70CA591E"/>
    <w:rsid w:val="76211CFF"/>
    <w:rsid w:val="7867742D"/>
    <w:rsid w:val="7B3C626A"/>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5215</Words>
  <Characters>5854</Characters>
  <Lines>30</Lines>
  <Paragraphs>8</Paragraphs>
  <TotalTime>8</TotalTime>
  <ScaleCrop>false</ScaleCrop>
  <LinksUpToDate>false</LinksUpToDate>
  <CharactersWithSpaces>6083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